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rPr>
      </w:pPr>
    </w:p>
    <w:p>
      <w:pPr>
        <w:jc w:val="center"/>
        <w:rPr>
          <w:sz w:val="44"/>
          <w:szCs w:val="44"/>
        </w:rPr>
      </w:pPr>
      <w:r>
        <w:rPr>
          <w:rFonts w:hint="eastAsia"/>
          <w:sz w:val="44"/>
          <w:szCs w:val="44"/>
        </w:rPr>
        <w:t>梧州学院继续教育在线教学平台采购</w:t>
      </w:r>
      <w:r>
        <w:rPr>
          <w:rFonts w:hint="eastAsia"/>
          <w:sz w:val="44"/>
          <w:szCs w:val="44"/>
          <w:lang w:eastAsia="zh-CN"/>
        </w:rPr>
        <w:t>项目</w:t>
      </w:r>
      <w:r>
        <w:rPr>
          <w:rFonts w:hint="eastAsia"/>
          <w:sz w:val="44"/>
          <w:szCs w:val="44"/>
        </w:rPr>
        <w:t>需求</w:t>
      </w:r>
    </w:p>
    <w:p>
      <w:pPr>
        <w:pStyle w:val="3"/>
      </w:pPr>
      <w:r>
        <w:rPr>
          <w:rFonts w:hint="eastAsia"/>
        </w:rPr>
        <w:t>一、货物需求</w:t>
      </w:r>
      <w:bookmarkStart w:id="4" w:name="_GoBack"/>
      <w:bookmarkEnd w:id="4"/>
    </w:p>
    <w:tbl>
      <w:tblPr>
        <w:tblStyle w:val="1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559"/>
        <w:gridCol w:w="9355"/>
        <w:gridCol w:w="567"/>
        <w:gridCol w:w="1418"/>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tcPr>
          <w:p>
            <w:pPr>
              <w:rPr>
                <w:sz w:val="18"/>
                <w:szCs w:val="18"/>
              </w:rPr>
            </w:pPr>
            <w:r>
              <w:rPr>
                <w:rFonts w:hint="eastAsia"/>
                <w:sz w:val="18"/>
                <w:szCs w:val="18"/>
              </w:rPr>
              <w:t>序号</w:t>
            </w:r>
          </w:p>
        </w:tc>
        <w:tc>
          <w:tcPr>
            <w:tcW w:w="1559" w:type="dxa"/>
          </w:tcPr>
          <w:p>
            <w:pPr>
              <w:rPr>
                <w:sz w:val="18"/>
                <w:szCs w:val="18"/>
              </w:rPr>
            </w:pPr>
            <w:r>
              <w:rPr>
                <w:rFonts w:hint="eastAsia"/>
                <w:sz w:val="18"/>
                <w:szCs w:val="18"/>
              </w:rPr>
              <w:t>采购货物名称</w:t>
            </w:r>
          </w:p>
        </w:tc>
        <w:tc>
          <w:tcPr>
            <w:tcW w:w="9355" w:type="dxa"/>
          </w:tcPr>
          <w:p>
            <w:pPr>
              <w:rPr>
                <w:sz w:val="18"/>
                <w:szCs w:val="18"/>
              </w:rPr>
            </w:pPr>
            <w:r>
              <w:rPr>
                <w:rFonts w:hint="eastAsia"/>
                <w:sz w:val="18"/>
                <w:szCs w:val="18"/>
              </w:rPr>
              <w:t>功能参数</w:t>
            </w:r>
          </w:p>
        </w:tc>
        <w:tc>
          <w:tcPr>
            <w:tcW w:w="567" w:type="dxa"/>
          </w:tcPr>
          <w:p>
            <w:pPr>
              <w:rPr>
                <w:sz w:val="18"/>
                <w:szCs w:val="18"/>
              </w:rPr>
            </w:pPr>
            <w:r>
              <w:rPr>
                <w:rFonts w:hint="eastAsia"/>
                <w:sz w:val="18"/>
                <w:szCs w:val="18"/>
              </w:rPr>
              <w:t>采购数量</w:t>
            </w:r>
          </w:p>
        </w:tc>
        <w:tc>
          <w:tcPr>
            <w:tcW w:w="1418" w:type="dxa"/>
          </w:tcPr>
          <w:p>
            <w:pPr>
              <w:rPr>
                <w:sz w:val="18"/>
                <w:szCs w:val="18"/>
              </w:rPr>
            </w:pPr>
            <w:r>
              <w:rPr>
                <w:rFonts w:hint="eastAsia"/>
                <w:sz w:val="18"/>
                <w:szCs w:val="18"/>
              </w:rPr>
              <w:t>报价</w:t>
            </w:r>
          </w:p>
        </w:tc>
        <w:tc>
          <w:tcPr>
            <w:tcW w:w="741" w:type="dxa"/>
          </w:tcPr>
          <w:p>
            <w:pPr>
              <w:rPr>
                <w:sz w:val="18"/>
                <w:szCs w:val="18"/>
              </w:rPr>
            </w:pPr>
            <w:r>
              <w:rPr>
                <w:rFonts w:hint="eastAsia"/>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tcPr>
          <w:p>
            <w:pPr>
              <w:rPr>
                <w:sz w:val="18"/>
                <w:szCs w:val="18"/>
              </w:rPr>
            </w:pPr>
            <w:r>
              <w:rPr>
                <w:rFonts w:hint="eastAsia"/>
                <w:sz w:val="18"/>
                <w:szCs w:val="18"/>
              </w:rPr>
              <w:t>1</w:t>
            </w:r>
          </w:p>
        </w:tc>
        <w:tc>
          <w:tcPr>
            <w:tcW w:w="1559" w:type="dxa"/>
          </w:tcPr>
          <w:p>
            <w:pPr>
              <w:rPr>
                <w:sz w:val="18"/>
                <w:szCs w:val="18"/>
              </w:rPr>
            </w:pPr>
            <w:r>
              <w:rPr>
                <w:rFonts w:hint="eastAsia"/>
                <w:sz w:val="18"/>
                <w:szCs w:val="18"/>
              </w:rPr>
              <w:t>继续教育在线教学平台</w:t>
            </w:r>
          </w:p>
        </w:tc>
        <w:tc>
          <w:tcPr>
            <w:tcW w:w="9355" w:type="dxa"/>
          </w:tcPr>
          <w:p>
            <w:pPr>
              <w:pStyle w:val="2"/>
              <w:spacing w:before="0" w:after="0" w:line="380" w:lineRule="exact"/>
              <w:rPr>
                <w:rFonts w:ascii="宋体" w:hAnsi="宋体" w:eastAsia="宋体"/>
                <w:sz w:val="18"/>
                <w:szCs w:val="18"/>
                <w:lang w:eastAsia="zh-CN"/>
              </w:rPr>
            </w:pPr>
            <w:bookmarkStart w:id="0" w:name="_Toc456013405"/>
            <w:r>
              <w:rPr>
                <w:rFonts w:hint="eastAsia" w:ascii="宋体" w:hAnsi="宋体" w:eastAsia="宋体"/>
                <w:sz w:val="18"/>
                <w:szCs w:val="18"/>
                <w:lang w:eastAsia="zh-CN"/>
              </w:rPr>
              <w:t>一、网络在线</w:t>
            </w:r>
            <w:r>
              <w:rPr>
                <w:rFonts w:ascii="宋体" w:hAnsi="宋体" w:eastAsia="宋体"/>
                <w:sz w:val="18"/>
                <w:szCs w:val="18"/>
                <w:lang w:eastAsia="zh-CN"/>
              </w:rPr>
              <w:t>教学平台</w:t>
            </w:r>
            <w:bookmarkEnd w:id="0"/>
            <w:r>
              <w:rPr>
                <w:rFonts w:hint="eastAsia" w:ascii="宋体" w:hAnsi="宋体" w:eastAsia="宋体"/>
                <w:sz w:val="18"/>
                <w:szCs w:val="18"/>
                <w:lang w:eastAsia="zh-CN"/>
              </w:rPr>
              <w:t>参数要求</w:t>
            </w:r>
          </w:p>
          <w:p>
            <w:pPr>
              <w:snapToGrid w:val="0"/>
              <w:spacing w:line="380" w:lineRule="exact"/>
              <w:ind w:firstLine="360" w:firstLineChars="200"/>
              <w:rPr>
                <w:rFonts w:ascii="宋体" w:hAnsi="宋体"/>
                <w:color w:val="000000"/>
                <w:sz w:val="18"/>
                <w:szCs w:val="18"/>
              </w:rPr>
            </w:pPr>
            <w:r>
              <w:rPr>
                <w:rFonts w:ascii="宋体" w:hAnsi="宋体"/>
                <w:color w:val="000000"/>
                <w:sz w:val="18"/>
                <w:szCs w:val="18"/>
              </w:rPr>
              <w:t>国内领先、操作简便、界面友好、交流便捷，具有先进性、人性化、个性化的</w:t>
            </w:r>
            <w:r>
              <w:rPr>
                <w:rFonts w:hint="eastAsia" w:ascii="宋体" w:hAnsi="宋体"/>
                <w:color w:val="000000"/>
                <w:sz w:val="18"/>
                <w:szCs w:val="18"/>
              </w:rPr>
              <w:t>网络在线</w:t>
            </w:r>
            <w:r>
              <w:rPr>
                <w:rFonts w:ascii="宋体" w:hAnsi="宋体"/>
                <w:color w:val="000000"/>
                <w:sz w:val="18"/>
                <w:szCs w:val="18"/>
              </w:rPr>
              <w:t>教学平台。要求该平台基于开放、合作、共享、创新的教育理念，能体现目前国内继续教育办学的主流思想和功能，反映继续教育学院的办学思想，能全面整合成人高等教育资源，为构建</w:t>
            </w:r>
            <w:r>
              <w:rPr>
                <w:rFonts w:hint="eastAsia" w:ascii="宋体" w:hAnsi="宋体"/>
                <w:color w:val="000000"/>
                <w:sz w:val="18"/>
                <w:szCs w:val="18"/>
              </w:rPr>
              <w:t>继续</w:t>
            </w:r>
            <w:r>
              <w:rPr>
                <w:rFonts w:ascii="宋体" w:hAnsi="宋体"/>
                <w:color w:val="000000"/>
                <w:sz w:val="18"/>
                <w:szCs w:val="18"/>
              </w:rPr>
              <w:t>教育体系提供强</w:t>
            </w:r>
            <w:r>
              <w:rPr>
                <w:rFonts w:hint="eastAsia" w:ascii="宋体" w:hAnsi="宋体"/>
                <w:color w:val="000000"/>
                <w:sz w:val="18"/>
                <w:szCs w:val="18"/>
              </w:rPr>
              <w:t>大、</w:t>
            </w:r>
            <w:r>
              <w:rPr>
                <w:rFonts w:ascii="宋体" w:hAnsi="宋体"/>
                <w:color w:val="000000"/>
                <w:sz w:val="18"/>
                <w:szCs w:val="18"/>
              </w:rPr>
              <w:t>可靠、稳定的技术保障。</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1、网络在线教学</w:t>
            </w:r>
            <w:r>
              <w:rPr>
                <w:rFonts w:ascii="宋体" w:hAnsi="宋体"/>
                <w:color w:val="000000"/>
                <w:sz w:val="18"/>
                <w:szCs w:val="18"/>
              </w:rPr>
              <w:t>平台主要功能</w:t>
            </w:r>
            <w:r>
              <w:rPr>
                <w:rFonts w:hint="eastAsia" w:ascii="宋体" w:hAnsi="宋体"/>
                <w:color w:val="000000"/>
                <w:sz w:val="18"/>
                <w:szCs w:val="18"/>
              </w:rPr>
              <w:t>描述</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综合管理：基于用户角色（学院、教学站、教师、学生四类角色），提供统一的权限配置管理，提供统一身份认证；学习支持服务等活动及其管理通过网络实现；关键学习及管理活动的详细的日志记录与分析；精确的数据查询统计与分析；开发相应数据接口程序，以备继续教育学院综合管理系统调用。</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（2）</w:t>
            </w:r>
            <w:r>
              <w:rPr>
                <w:rFonts w:ascii="宋体" w:hAnsi="宋体"/>
                <w:color w:val="000000"/>
                <w:sz w:val="18"/>
                <w:szCs w:val="18"/>
              </w:rPr>
              <w:t xml:space="preserve"> 学生学习：提供学生学习、互动及获取信息的整个学习阶段的所有功能。系统基于开放、引领式学习理念，为教师与学生之间实现多样互动沟通</w:t>
            </w:r>
            <w:r>
              <w:rPr>
                <w:rFonts w:hint="eastAsia" w:ascii="宋体" w:hAnsi="宋体"/>
                <w:color w:val="000000"/>
                <w:sz w:val="18"/>
                <w:szCs w:val="18"/>
              </w:rPr>
              <w:t>的</w:t>
            </w:r>
            <w:r>
              <w:rPr>
                <w:rFonts w:ascii="宋体" w:hAnsi="宋体"/>
                <w:color w:val="000000"/>
                <w:sz w:val="18"/>
                <w:szCs w:val="18"/>
              </w:rPr>
              <w:t>渠道。平台支持混合学习模式，提供关键学习过程、学习行为分析数据</w:t>
            </w:r>
            <w:r>
              <w:rPr>
                <w:rFonts w:hint="eastAsia" w:ascii="宋体" w:hAnsi="宋体"/>
                <w:color w:val="000000"/>
                <w:sz w:val="18"/>
                <w:szCs w:val="18"/>
              </w:rPr>
              <w:t>，提供有效监控学生在线学习过程的解决方案</w:t>
            </w:r>
            <w:r>
              <w:rPr>
                <w:rFonts w:ascii="宋体" w:hAnsi="宋体"/>
                <w:color w:val="000000"/>
                <w:sz w:val="18"/>
                <w:szCs w:val="18"/>
              </w:rPr>
              <w:t>。</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（3）</w:t>
            </w:r>
            <w:r>
              <w:rPr>
                <w:rFonts w:ascii="宋体" w:hAnsi="宋体"/>
                <w:color w:val="000000"/>
                <w:sz w:val="18"/>
                <w:szCs w:val="18"/>
              </w:rPr>
              <w:t>教学辅助：提供教师课程与资源开发、建设与信息维护功能，提供教师在线完成指导学生学习、维护知识库的主要工作，实现辅导教师</w:t>
            </w:r>
            <w:r>
              <w:rPr>
                <w:rFonts w:hint="eastAsia" w:ascii="宋体" w:hAnsi="宋体"/>
                <w:color w:val="000000"/>
                <w:sz w:val="18"/>
                <w:szCs w:val="18"/>
              </w:rPr>
              <w:t>通过后台数据</w:t>
            </w:r>
            <w:r>
              <w:rPr>
                <w:rFonts w:ascii="宋体" w:hAnsi="宋体"/>
                <w:color w:val="000000"/>
                <w:sz w:val="18"/>
                <w:szCs w:val="18"/>
              </w:rPr>
              <w:t>了解自己所辅导学生的学习情况。满足在线答疑、作业情况查询、作业评阅、教学互动、知识库维护等活动。</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（4）</w:t>
            </w:r>
            <w:r>
              <w:rPr>
                <w:rFonts w:ascii="宋体" w:hAnsi="宋体"/>
                <w:color w:val="000000"/>
                <w:sz w:val="18"/>
                <w:szCs w:val="18"/>
              </w:rPr>
              <w:t xml:space="preserve"> 教学站管理：实现校外教学站管理人员</w:t>
            </w:r>
            <w:r>
              <w:rPr>
                <w:rFonts w:hint="eastAsia" w:ascii="宋体" w:hAnsi="宋体"/>
                <w:color w:val="000000"/>
                <w:sz w:val="18"/>
                <w:szCs w:val="18"/>
              </w:rPr>
              <w:t>对学生</w:t>
            </w:r>
            <w:r>
              <w:rPr>
                <w:rFonts w:ascii="宋体" w:hAnsi="宋体"/>
                <w:color w:val="000000"/>
                <w:sz w:val="18"/>
                <w:szCs w:val="18"/>
              </w:rPr>
              <w:t>学习支持服务等工作，了解学生的各种学习情况，及时指导</w:t>
            </w:r>
            <w:r>
              <w:rPr>
                <w:rFonts w:hint="eastAsia" w:ascii="宋体" w:hAnsi="宋体"/>
                <w:color w:val="000000"/>
                <w:sz w:val="18"/>
                <w:szCs w:val="18"/>
              </w:rPr>
              <w:t>、督促</w:t>
            </w:r>
            <w:r>
              <w:rPr>
                <w:rFonts w:ascii="宋体" w:hAnsi="宋体"/>
                <w:color w:val="000000"/>
                <w:sz w:val="18"/>
                <w:szCs w:val="18"/>
              </w:rPr>
              <w:t>学生</w:t>
            </w:r>
            <w:r>
              <w:rPr>
                <w:rFonts w:hint="eastAsia" w:ascii="宋体" w:hAnsi="宋体"/>
                <w:color w:val="000000"/>
                <w:sz w:val="18"/>
                <w:szCs w:val="18"/>
              </w:rPr>
              <w:t>学习</w:t>
            </w:r>
            <w:r>
              <w:rPr>
                <w:rFonts w:ascii="宋体" w:hAnsi="宋体"/>
                <w:color w:val="000000"/>
                <w:sz w:val="18"/>
                <w:szCs w:val="18"/>
              </w:rPr>
              <w:t>。</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（5）</w:t>
            </w:r>
            <w:r>
              <w:rPr>
                <w:rFonts w:ascii="宋体" w:hAnsi="宋体"/>
                <w:color w:val="000000"/>
                <w:sz w:val="18"/>
                <w:szCs w:val="18"/>
              </w:rPr>
              <w:t xml:space="preserve"> 数据查询统计报表：要求所见即所得，实现数据同步、数据安全高效，导出的数据、报表要求与教育部（厅）等的各类平台、年检年报报表要求一致。</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（6）</w:t>
            </w:r>
            <w:r>
              <w:rPr>
                <w:rFonts w:ascii="宋体" w:hAnsi="宋体"/>
                <w:color w:val="000000"/>
                <w:sz w:val="18"/>
                <w:szCs w:val="18"/>
              </w:rPr>
              <w:t>系统兼容性强：要求支持PC桌面、</w:t>
            </w:r>
            <w:r>
              <w:rPr>
                <w:rFonts w:hint="eastAsia" w:ascii="宋体" w:hAnsi="宋体"/>
                <w:color w:val="000000"/>
                <w:sz w:val="18"/>
                <w:szCs w:val="18"/>
              </w:rPr>
              <w:t>移动</w:t>
            </w:r>
            <w:r>
              <w:rPr>
                <w:rFonts w:ascii="宋体" w:hAnsi="宋体"/>
                <w:color w:val="000000"/>
                <w:sz w:val="18"/>
                <w:szCs w:val="18"/>
              </w:rPr>
              <w:t>终端</w:t>
            </w:r>
            <w:r>
              <w:rPr>
                <w:rFonts w:hint="eastAsia" w:ascii="宋体" w:hAnsi="宋体"/>
                <w:color w:val="000000"/>
                <w:sz w:val="18"/>
                <w:szCs w:val="18"/>
              </w:rPr>
              <w:t>等多终端</w:t>
            </w:r>
            <w:r>
              <w:rPr>
                <w:rFonts w:ascii="宋体" w:hAnsi="宋体"/>
                <w:color w:val="000000"/>
                <w:sz w:val="18"/>
                <w:szCs w:val="18"/>
              </w:rPr>
              <w:t>设备（支持IOS和安卓系统）。学生可以在PC桌面、手机或平板上同步使用学习功能，实现无缝学习，在线与离线相结合</w:t>
            </w:r>
            <w:r>
              <w:rPr>
                <w:rFonts w:hint="eastAsia" w:ascii="宋体" w:hAnsi="宋体"/>
                <w:color w:val="000000"/>
                <w:sz w:val="18"/>
                <w:szCs w:val="18"/>
              </w:rPr>
              <w:t>，</w:t>
            </w:r>
            <w:r>
              <w:rPr>
                <w:rFonts w:ascii="宋体" w:hAnsi="宋体"/>
                <w:color w:val="000000"/>
                <w:sz w:val="18"/>
                <w:szCs w:val="18"/>
              </w:rPr>
              <w:t>各项学习数据要在多终端实现同步更新。</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2、网络在线教学</w:t>
            </w:r>
            <w:r>
              <w:rPr>
                <w:rFonts w:ascii="宋体" w:hAnsi="宋体"/>
                <w:color w:val="000000"/>
                <w:sz w:val="18"/>
                <w:szCs w:val="18"/>
              </w:rPr>
              <w:t>平台功能</w:t>
            </w:r>
            <w:r>
              <w:rPr>
                <w:rFonts w:hint="eastAsia" w:ascii="宋体" w:hAnsi="宋体"/>
                <w:color w:val="000000"/>
                <w:sz w:val="18"/>
                <w:szCs w:val="18"/>
              </w:rPr>
              <w:t>需求列表</w:t>
            </w:r>
          </w:p>
          <w:p>
            <w:pPr>
              <w:snapToGrid w:val="0"/>
              <w:spacing w:line="380" w:lineRule="exact"/>
              <w:ind w:firstLine="450" w:firstLineChars="250"/>
              <w:rPr>
                <w:rFonts w:ascii="宋体" w:hAnsi="宋体"/>
                <w:color w:val="000000"/>
                <w:sz w:val="18"/>
                <w:szCs w:val="18"/>
              </w:rPr>
            </w:pPr>
            <w:r>
              <w:rPr>
                <w:rFonts w:ascii="宋体" w:hAnsi="宋体"/>
                <w:color w:val="000000"/>
                <w:sz w:val="18"/>
                <w:szCs w:val="18"/>
              </w:rPr>
              <w:t>要求</w:t>
            </w:r>
            <w:r>
              <w:rPr>
                <w:rFonts w:hint="eastAsia" w:ascii="宋体" w:hAnsi="宋体"/>
                <w:color w:val="000000"/>
                <w:sz w:val="18"/>
                <w:szCs w:val="18"/>
              </w:rPr>
              <w:t>网络在线</w:t>
            </w:r>
            <w:r>
              <w:rPr>
                <w:rFonts w:ascii="宋体" w:hAnsi="宋体"/>
                <w:color w:val="000000"/>
                <w:sz w:val="18"/>
                <w:szCs w:val="18"/>
              </w:rPr>
              <w:t>教学平台的主要功能点如下，功能属性分别为“必须”、“可选”两个选项，“必须”是指系统一定要满足的功能；“可选”是招标方根据自身发展，投标人提供可供选择的系统功能。</w:t>
            </w:r>
          </w:p>
          <w:p>
            <w:pPr>
              <w:snapToGrid w:val="0"/>
              <w:spacing w:line="380" w:lineRule="exact"/>
              <w:jc w:val="center"/>
              <w:rPr>
                <w:rFonts w:ascii="宋体" w:hAnsi="宋体"/>
                <w:color w:val="000000"/>
                <w:sz w:val="18"/>
                <w:szCs w:val="18"/>
              </w:rPr>
            </w:pPr>
            <w:r>
              <w:rPr>
                <w:rFonts w:hint="eastAsia" w:ascii="宋体" w:hAnsi="宋体"/>
                <w:color w:val="000000"/>
                <w:sz w:val="18"/>
                <w:szCs w:val="18"/>
              </w:rPr>
              <w:t>表1、 网络在线教学平台功能需求表</w:t>
            </w:r>
          </w:p>
          <w:tbl>
            <w:tblPr>
              <w:tblStyle w:val="10"/>
              <w:tblW w:w="85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150"/>
              <w:gridCol w:w="1312"/>
              <w:gridCol w:w="4862"/>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443" w:type="dxa"/>
                  <w:tcBorders>
                    <w:top w:val="single" w:color="auto" w:sz="4" w:space="0"/>
                    <w:left w:val="single" w:color="auto" w:sz="4" w:space="0"/>
                    <w:bottom w:val="single" w:color="auto" w:sz="4" w:space="0"/>
                    <w:right w:val="single" w:color="auto" w:sz="4" w:space="0"/>
                  </w:tcBorders>
                  <w:shd w:val="clear" w:color="auto" w:fill="E0E0E0"/>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序号</w:t>
                  </w:r>
                </w:p>
              </w:tc>
              <w:tc>
                <w:tcPr>
                  <w:tcW w:w="1150" w:type="dxa"/>
                  <w:tcBorders>
                    <w:top w:val="single" w:color="auto" w:sz="4" w:space="0"/>
                    <w:left w:val="single" w:color="auto" w:sz="4" w:space="0"/>
                    <w:bottom w:val="single" w:color="auto" w:sz="4" w:space="0"/>
                    <w:right w:val="single" w:color="auto" w:sz="4" w:space="0"/>
                  </w:tcBorders>
                  <w:shd w:val="clear" w:color="auto" w:fill="E0E0E0"/>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功能模块</w:t>
                  </w:r>
                </w:p>
              </w:tc>
              <w:tc>
                <w:tcPr>
                  <w:tcW w:w="1312" w:type="dxa"/>
                  <w:tcBorders>
                    <w:top w:val="single" w:color="auto" w:sz="4" w:space="0"/>
                    <w:left w:val="single" w:color="auto" w:sz="4" w:space="0"/>
                    <w:bottom w:val="single" w:color="auto" w:sz="4" w:space="0"/>
                    <w:right w:val="single" w:color="auto" w:sz="4" w:space="0"/>
                  </w:tcBorders>
                  <w:shd w:val="clear" w:color="auto" w:fill="E0E0E0"/>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功能名称</w:t>
                  </w:r>
                </w:p>
              </w:tc>
              <w:tc>
                <w:tcPr>
                  <w:tcW w:w="4862" w:type="dxa"/>
                  <w:tcBorders>
                    <w:top w:val="single" w:color="auto" w:sz="4" w:space="0"/>
                    <w:left w:val="single" w:color="auto" w:sz="4" w:space="0"/>
                    <w:bottom w:val="single" w:color="auto" w:sz="4" w:space="0"/>
                    <w:right w:val="single" w:color="auto" w:sz="4" w:space="0"/>
                  </w:tcBorders>
                  <w:shd w:val="clear" w:color="auto" w:fill="E0E0E0"/>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功能参数简要描述</w:t>
                  </w:r>
                </w:p>
              </w:tc>
              <w:tc>
                <w:tcPr>
                  <w:tcW w:w="799" w:type="dxa"/>
                  <w:tcBorders>
                    <w:top w:val="single" w:color="auto" w:sz="4" w:space="0"/>
                    <w:left w:val="single" w:color="auto" w:sz="4" w:space="0"/>
                    <w:bottom w:val="single" w:color="auto" w:sz="4" w:space="0"/>
                    <w:right w:val="single" w:color="auto" w:sz="4" w:space="0"/>
                  </w:tcBorders>
                  <w:shd w:val="clear" w:color="auto" w:fill="E0E0E0"/>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功能属性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1</w:t>
                  </w:r>
                </w:p>
              </w:tc>
              <w:tc>
                <w:tcPr>
                  <w:tcW w:w="1150"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系统管理</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权限管理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能按照用户生成权限列表、赋予权限、权限的变更有日志详细记录</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用户角色</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用户角色划分、用户密码安全管理</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数据备份</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基于数据库级别自动完成，人工可设计备份周期等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日志管理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记录每项功能的操作人、操作对象、操作内容、操作时间等，提供日志查询与备份功能</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注册管理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能对已经毕业学生的注册账号进行自动删除。</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数据库管理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课程库、</w:t>
                  </w:r>
                  <w:r>
                    <w:rPr>
                      <w:rFonts w:ascii="宋体" w:hAnsi="宋体"/>
                      <w:color w:val="000000"/>
                      <w:sz w:val="18"/>
                      <w:szCs w:val="18"/>
                    </w:rPr>
                    <w:t>公告库、学习过程数据库</w:t>
                  </w:r>
                  <w:r>
                    <w:rPr>
                      <w:rFonts w:hint="eastAsia" w:ascii="宋体" w:hAnsi="宋体"/>
                      <w:color w:val="000000"/>
                      <w:sz w:val="18"/>
                      <w:szCs w:val="18"/>
                    </w:rPr>
                    <w:t>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新闻通知</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支持集中发布信息，或按对象发布，CMS信息管理（整理、存储）</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信息安全</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服务负载、访问记录、报警信息推送、论坛管理等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2</w:t>
                  </w:r>
                </w:p>
              </w:tc>
              <w:tc>
                <w:tcPr>
                  <w:tcW w:w="1150" w:type="dxa"/>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教学日程</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日程管理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教学日程是学院整体的教学活动日程，学生可以对学习日程实现自我管理与提醒</w:t>
                  </w:r>
                  <w:r>
                    <w:rPr>
                      <w:rFonts w:hint="eastAsia" w:ascii="宋体" w:hAnsi="宋体"/>
                      <w:color w:val="000000"/>
                      <w:sz w:val="18"/>
                      <w:szCs w:val="18"/>
                    </w:rPr>
                    <w:t xml:space="preserve">，重要教学日程建立与发布功能，提醒系统用户按日程完成学习及管理 </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3</w:t>
                  </w:r>
                </w:p>
              </w:tc>
              <w:tc>
                <w:tcPr>
                  <w:tcW w:w="1150"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课程管理</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课程导入</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平台支持SCORM 1.2的标准课程导入。</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课程装扮</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课程装扮包括页面版式</w:t>
                  </w:r>
                  <w:r>
                    <w:rPr>
                      <w:rFonts w:hint="eastAsia" w:ascii="宋体" w:hAnsi="宋体"/>
                      <w:color w:val="000000"/>
                      <w:sz w:val="18"/>
                      <w:szCs w:val="18"/>
                    </w:rPr>
                    <w:t>、</w:t>
                  </w:r>
                  <w:r>
                    <w:rPr>
                      <w:rFonts w:ascii="宋体" w:hAnsi="宋体"/>
                      <w:color w:val="000000"/>
                      <w:sz w:val="18"/>
                      <w:szCs w:val="18"/>
                    </w:rPr>
                    <w:t>课程风格</w:t>
                  </w:r>
                  <w:r>
                    <w:rPr>
                      <w:rFonts w:hint="eastAsia" w:ascii="宋体" w:hAnsi="宋体"/>
                      <w:color w:val="000000"/>
                      <w:sz w:val="18"/>
                      <w:szCs w:val="18"/>
                    </w:rPr>
                    <w:t>、</w:t>
                  </w:r>
                  <w:r>
                    <w:rPr>
                      <w:rFonts w:ascii="宋体" w:hAnsi="宋体"/>
                      <w:color w:val="000000"/>
                      <w:sz w:val="18"/>
                      <w:szCs w:val="18"/>
                    </w:rPr>
                    <w:t>模块设置</w:t>
                  </w:r>
                  <w:r>
                    <w:rPr>
                      <w:rFonts w:hint="eastAsia" w:ascii="宋体" w:hAnsi="宋体"/>
                      <w:color w:val="000000"/>
                      <w:sz w:val="18"/>
                      <w:szCs w:val="18"/>
                    </w:rPr>
                    <w:t>，</w:t>
                  </w:r>
                  <w:r>
                    <w:rPr>
                      <w:rFonts w:ascii="宋体" w:hAnsi="宋体"/>
                      <w:color w:val="000000"/>
                      <w:sz w:val="18"/>
                      <w:szCs w:val="18"/>
                    </w:rPr>
                    <w:t>教师可以管理课程模块。</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课程通知</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教师可以发布课程通知</w:t>
                  </w:r>
                  <w:r>
                    <w:rPr>
                      <w:rFonts w:hint="eastAsia" w:ascii="宋体" w:hAnsi="宋体"/>
                      <w:color w:val="000000"/>
                      <w:sz w:val="18"/>
                      <w:szCs w:val="18"/>
                    </w:rPr>
                    <w:t>，</w:t>
                  </w:r>
                  <w:r>
                    <w:rPr>
                      <w:rFonts w:ascii="宋体" w:hAnsi="宋体"/>
                      <w:color w:val="000000"/>
                      <w:sz w:val="18"/>
                      <w:szCs w:val="18"/>
                    </w:rPr>
                    <w:t>课程通知可设置发布状态、发布方式、发布日期、主题、正文，并可以添加多个附件。</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教师小组</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在系统中构建教师小组</w:t>
                  </w:r>
                  <w:r>
                    <w:rPr>
                      <w:rFonts w:hint="eastAsia" w:ascii="宋体" w:hAnsi="宋体"/>
                      <w:color w:val="000000"/>
                      <w:sz w:val="18"/>
                      <w:szCs w:val="18"/>
                    </w:rPr>
                    <w:t>，</w:t>
                  </w:r>
                  <w:r>
                    <w:rPr>
                      <w:rFonts w:ascii="宋体" w:hAnsi="宋体"/>
                      <w:color w:val="000000"/>
                      <w:sz w:val="18"/>
                      <w:szCs w:val="18"/>
                    </w:rPr>
                    <w:t>教师小组由主讲教师和辅导教师组成</w:t>
                  </w:r>
                  <w:r>
                    <w:rPr>
                      <w:rFonts w:hint="eastAsia" w:ascii="宋体" w:hAnsi="宋体"/>
                      <w:color w:val="000000"/>
                      <w:sz w:val="18"/>
                      <w:szCs w:val="18"/>
                    </w:rPr>
                    <w:t>，</w:t>
                  </w:r>
                  <w:r>
                    <w:rPr>
                      <w:rFonts w:ascii="宋体" w:hAnsi="宋体"/>
                      <w:color w:val="000000"/>
                      <w:sz w:val="18"/>
                      <w:szCs w:val="18"/>
                    </w:rPr>
                    <w:t>辅导教师根据所获权限进入系统协助主讲教师处理教学过程中的事务。</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4</w:t>
                  </w:r>
                </w:p>
              </w:tc>
              <w:tc>
                <w:tcPr>
                  <w:tcW w:w="1150"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课程建设</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课程设置</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课程设置可以对该课程的一些基本信息进行设置，包括课程代码，中文名，英文名，中文简介，课程封面图片，是否发布等。课程封面图片用于在网络课堂首页中课程列表里的图片显示</w:t>
                  </w:r>
                  <w:r>
                    <w:rPr>
                      <w:rFonts w:hint="eastAsia" w:ascii="宋体" w:hAnsi="宋体"/>
                      <w:color w:val="000000"/>
                      <w:sz w:val="18"/>
                      <w:szCs w:val="18"/>
                    </w:rPr>
                    <w:t>，</w:t>
                  </w:r>
                  <w:r>
                    <w:rPr>
                      <w:rFonts w:ascii="宋体" w:hAnsi="宋体"/>
                      <w:color w:val="000000"/>
                      <w:sz w:val="18"/>
                      <w:szCs w:val="18"/>
                    </w:rPr>
                    <w:t>在基本设置里有增加、移除功能。</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课程栏目</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教师可以设置本课程在网络课堂中各栏目的显示名称及显示状态（开启、关闭），栏目排序，处于“开启”的栏目才在该页面中显示，并且也可以直接在课程栏目中对某些栏目进行内容设置。</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课程导学</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课程导学中，可以添加课程简介，课程特色，学习方式，教学大纲，学习目标等。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教学内容</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编辑树形结构的教学大纲，增、删、改、查课程章节，并且可以对章节中添加各种类型的资源。</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参考资源</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参考资源：教师可以进行参考资源的维护，添加</w:t>
                  </w:r>
                  <w:r>
                    <w:rPr>
                      <w:rFonts w:hint="eastAsia" w:ascii="宋体" w:hAnsi="宋体"/>
                      <w:color w:val="000000"/>
                      <w:sz w:val="18"/>
                      <w:szCs w:val="18"/>
                    </w:rPr>
                    <w:t>资料</w:t>
                  </w:r>
                  <w:r>
                    <w:rPr>
                      <w:rFonts w:ascii="宋体" w:hAnsi="宋体"/>
                      <w:color w:val="000000"/>
                      <w:sz w:val="18"/>
                      <w:szCs w:val="18"/>
                    </w:rPr>
                    <w:t>时可以让教师选择是否发通知，学生可以通过通知查看教师最新发布了哪些</w:t>
                  </w:r>
                  <w:r>
                    <w:rPr>
                      <w:rFonts w:hint="eastAsia" w:ascii="宋体" w:hAnsi="宋体"/>
                      <w:color w:val="000000"/>
                      <w:sz w:val="18"/>
                      <w:szCs w:val="18"/>
                    </w:rPr>
                    <w:t>资</w:t>
                  </w:r>
                  <w:r>
                    <w:rPr>
                      <w:rFonts w:ascii="宋体" w:hAnsi="宋体"/>
                      <w:color w:val="000000"/>
                      <w:sz w:val="18"/>
                      <w:szCs w:val="18"/>
                    </w:rPr>
                    <w:t>料。</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题库管理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题库管理是课程中心的核心内容之一，为网上作业、网上测试等提供了基础数据，方便教师的作业布置、学生的自测</w:t>
                  </w:r>
                  <w:r>
                    <w:rPr>
                      <w:rFonts w:hint="eastAsia" w:ascii="宋体" w:hAnsi="宋体"/>
                      <w:color w:val="000000"/>
                      <w:sz w:val="18"/>
                      <w:szCs w:val="18"/>
                    </w:rPr>
                    <w:t>。</w:t>
                  </w:r>
                  <w:r>
                    <w:rPr>
                      <w:rFonts w:ascii="宋体" w:hAnsi="宋体"/>
                      <w:color w:val="000000"/>
                      <w:sz w:val="18"/>
                      <w:szCs w:val="18"/>
                    </w:rPr>
                    <w:t>课程题库包括题库信息，题型设置，题库统计三大模块。</w:t>
                  </w:r>
                </w:p>
                <w:p>
                  <w:pPr>
                    <w:snapToGrid w:val="0"/>
                    <w:spacing w:line="380" w:lineRule="exact"/>
                    <w:rPr>
                      <w:rFonts w:ascii="宋体" w:hAnsi="宋体"/>
                      <w:color w:val="000000"/>
                      <w:sz w:val="18"/>
                      <w:szCs w:val="18"/>
                    </w:rPr>
                  </w:pPr>
                  <w:r>
                    <w:rPr>
                      <w:rFonts w:ascii="宋体" w:hAnsi="宋体"/>
                      <w:color w:val="000000"/>
                      <w:sz w:val="18"/>
                      <w:szCs w:val="18"/>
                    </w:rPr>
                    <w:t>出题时，可以设置题型、章节、知识点、范围、内容等，一道题目可以同时属于多个题库。</w:t>
                  </w:r>
                </w:p>
                <w:p>
                  <w:pPr>
                    <w:snapToGrid w:val="0"/>
                    <w:spacing w:line="380" w:lineRule="exact"/>
                    <w:rPr>
                      <w:rFonts w:ascii="宋体" w:hAnsi="宋体"/>
                      <w:color w:val="000000"/>
                      <w:sz w:val="18"/>
                      <w:szCs w:val="18"/>
                    </w:rPr>
                  </w:pPr>
                  <w:r>
                    <w:rPr>
                      <w:rFonts w:ascii="宋体" w:hAnsi="宋体"/>
                      <w:color w:val="000000"/>
                      <w:sz w:val="18"/>
                      <w:szCs w:val="18"/>
                    </w:rPr>
                    <w:t>默认的题型有：单选题、多选题、填空题、判断题、问答题、完形填空、阅读理解。</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试题导入</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支持</w:t>
                  </w:r>
                  <w:r>
                    <w:rPr>
                      <w:rFonts w:ascii="宋体" w:hAnsi="宋体"/>
                      <w:color w:val="000000"/>
                      <w:sz w:val="18"/>
                      <w:szCs w:val="18"/>
                    </w:rPr>
                    <w:t>从Word</w:t>
                  </w:r>
                  <w:r>
                    <w:rPr>
                      <w:rFonts w:hint="eastAsia" w:ascii="宋体" w:hAnsi="宋体"/>
                      <w:color w:val="000000"/>
                      <w:sz w:val="18"/>
                      <w:szCs w:val="18"/>
                    </w:rPr>
                    <w:t>、</w:t>
                  </w:r>
                  <w:r>
                    <w:rPr>
                      <w:rFonts w:ascii="宋体" w:hAnsi="宋体"/>
                      <w:color w:val="000000"/>
                      <w:sz w:val="18"/>
                      <w:szCs w:val="18"/>
                    </w:rPr>
                    <w:t>Excel</w:t>
                  </w:r>
                  <w:r>
                    <w:rPr>
                      <w:rFonts w:hint="eastAsia" w:ascii="宋体" w:hAnsi="宋体"/>
                      <w:color w:val="000000"/>
                      <w:sz w:val="18"/>
                      <w:szCs w:val="18"/>
                    </w:rPr>
                    <w:t>导入</w:t>
                  </w:r>
                  <w:r>
                    <w:rPr>
                      <w:rFonts w:ascii="宋体" w:hAnsi="宋体"/>
                      <w:color w:val="000000"/>
                      <w:sz w:val="18"/>
                      <w:szCs w:val="18"/>
                    </w:rPr>
                    <w:t>试题</w:t>
                  </w:r>
                  <w:r>
                    <w:rPr>
                      <w:rFonts w:hint="eastAsia" w:ascii="宋体" w:hAnsi="宋体"/>
                      <w:color w:val="000000"/>
                      <w:sz w:val="18"/>
                      <w:szCs w:val="18"/>
                    </w:rPr>
                    <w:t>，</w:t>
                  </w:r>
                  <w:r>
                    <w:rPr>
                      <w:rFonts w:ascii="宋体" w:hAnsi="宋体"/>
                      <w:color w:val="000000"/>
                      <w:sz w:val="18"/>
                      <w:szCs w:val="18"/>
                    </w:rPr>
                    <w:t>支持</w:t>
                  </w:r>
                  <w:r>
                    <w:rPr>
                      <w:rFonts w:hint="eastAsia" w:ascii="宋体" w:hAnsi="宋体"/>
                      <w:color w:val="000000"/>
                      <w:sz w:val="18"/>
                      <w:szCs w:val="18"/>
                    </w:rPr>
                    <w:t>带图片</w:t>
                  </w:r>
                  <w:r>
                    <w:rPr>
                      <w:rFonts w:ascii="宋体" w:hAnsi="宋体"/>
                      <w:color w:val="000000"/>
                      <w:sz w:val="18"/>
                      <w:szCs w:val="18"/>
                    </w:rPr>
                    <w:t>的</w:t>
                  </w:r>
                  <w:r>
                    <w:rPr>
                      <w:rFonts w:hint="eastAsia" w:ascii="宋体" w:hAnsi="宋体"/>
                      <w:color w:val="000000"/>
                      <w:sz w:val="18"/>
                      <w:szCs w:val="18"/>
                    </w:rPr>
                    <w:t>试题</w:t>
                  </w:r>
                  <w:r>
                    <w:rPr>
                      <w:rFonts w:ascii="宋体" w:hAnsi="宋体"/>
                      <w:color w:val="000000"/>
                      <w:sz w:val="18"/>
                      <w:szCs w:val="18"/>
                    </w:rPr>
                    <w:t>导入。</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作业管理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教师进行作业的布置和批阅，作业分为在线作业</w:t>
                  </w:r>
                  <w:r>
                    <w:rPr>
                      <w:rFonts w:hint="eastAsia" w:ascii="宋体" w:hAnsi="宋体"/>
                      <w:color w:val="000000"/>
                      <w:sz w:val="18"/>
                      <w:szCs w:val="18"/>
                    </w:rPr>
                    <w:t>、</w:t>
                  </w:r>
                  <w:r>
                    <w:rPr>
                      <w:rFonts w:ascii="宋体" w:hAnsi="宋体"/>
                      <w:color w:val="000000"/>
                      <w:sz w:val="18"/>
                      <w:szCs w:val="18"/>
                    </w:rPr>
                    <w:t>离线作业</w:t>
                  </w:r>
                  <w:r>
                    <w:rPr>
                      <w:rFonts w:hint="eastAsia" w:ascii="宋体" w:hAnsi="宋体"/>
                      <w:color w:val="000000"/>
                      <w:sz w:val="18"/>
                      <w:szCs w:val="18"/>
                    </w:rPr>
                    <w:t>。</w:t>
                  </w:r>
                  <w:r>
                    <w:rPr>
                      <w:rFonts w:ascii="宋体" w:hAnsi="宋体"/>
                      <w:color w:val="000000"/>
                      <w:sz w:val="18"/>
                      <w:szCs w:val="18"/>
                    </w:rPr>
                    <w:t>在线作业，可以直接在题库中抽题，也可以手动增题。给题型设置分值，最后批阅后，学生可以获得成绩。布置作业的时候，可以选择布置的班级。</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模拟试卷</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模拟试卷与课程作业相似。教师可输入模拟卷名称、出卷时间等信息，可</w:t>
                  </w:r>
                  <w:r>
                    <w:rPr>
                      <w:rFonts w:hint="eastAsia" w:ascii="宋体" w:hAnsi="宋体"/>
                      <w:color w:val="000000"/>
                      <w:sz w:val="18"/>
                      <w:szCs w:val="18"/>
                    </w:rPr>
                    <w:t>根据</w:t>
                  </w:r>
                  <w:r>
                    <w:rPr>
                      <w:rFonts w:ascii="宋体" w:hAnsi="宋体"/>
                      <w:color w:val="000000"/>
                      <w:sz w:val="18"/>
                      <w:szCs w:val="18"/>
                    </w:rPr>
                    <w:t>设定各类题型的题目数量及难易度等条件从试题库随机生成模拟卷。</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5</w:t>
                  </w:r>
                </w:p>
              </w:tc>
              <w:tc>
                <w:tcPr>
                  <w:tcW w:w="1150"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课程学习</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课程通知</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系统可在教师进行作业布置的同时发布课程通知</w:t>
                  </w:r>
                  <w:r>
                    <w:rPr>
                      <w:rFonts w:hint="eastAsia" w:ascii="宋体" w:hAnsi="宋体"/>
                      <w:color w:val="000000"/>
                      <w:sz w:val="18"/>
                      <w:szCs w:val="18"/>
                    </w:rPr>
                    <w:t>，</w:t>
                  </w:r>
                  <w:r>
                    <w:rPr>
                      <w:rFonts w:ascii="宋体" w:hAnsi="宋体"/>
                      <w:color w:val="000000"/>
                      <w:sz w:val="18"/>
                      <w:szCs w:val="18"/>
                    </w:rPr>
                    <w:t>学生查看教师发布的课程通知</w:t>
                  </w:r>
                  <w:r>
                    <w:rPr>
                      <w:rFonts w:hint="eastAsia" w:ascii="宋体" w:hAnsi="宋体"/>
                      <w:color w:val="000000"/>
                      <w:sz w:val="18"/>
                      <w:szCs w:val="18"/>
                    </w:rPr>
                    <w:t>，</w:t>
                  </w:r>
                  <w:r>
                    <w:rPr>
                      <w:rFonts w:ascii="宋体" w:hAnsi="宋体"/>
                      <w:color w:val="000000"/>
                      <w:sz w:val="18"/>
                      <w:szCs w:val="18"/>
                    </w:rPr>
                    <w:t>新布置的作业等。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课程导学</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查看教师简介、课程基本信息、课程简介、课程内容与教学要求、教材及相关学习资源、教学安排、学习指南的查看或下载</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教学内容</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浏览（点播）在线课程、通知等学习资源。按章节、知识点进行选择学习，也可以按教学设计逻辑循序渐进学习</w:t>
                  </w:r>
                  <w:r>
                    <w:rPr>
                      <w:rFonts w:hint="eastAsia" w:ascii="宋体" w:hAnsi="宋体"/>
                      <w:color w:val="000000"/>
                      <w:sz w:val="18"/>
                      <w:szCs w:val="18"/>
                    </w:rPr>
                    <w:t>，</w:t>
                  </w:r>
                  <w:r>
                    <w:rPr>
                      <w:rFonts w:ascii="宋体" w:hAnsi="宋体"/>
                      <w:color w:val="000000"/>
                      <w:sz w:val="18"/>
                      <w:szCs w:val="18"/>
                    </w:rPr>
                    <w:t>可下载允许下载的课程资源。</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实验案例</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进行实验实习及案例分析的学习。</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参考资源</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进行参考资源的查阅和下载。</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课程作业</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学生进入学习平台，可以在作业区看到作业的情况：新作业数、未完成作业数、已批阅作业数。</w:t>
                  </w:r>
                </w:p>
                <w:p>
                  <w:pPr>
                    <w:snapToGrid w:val="0"/>
                    <w:spacing w:line="380" w:lineRule="exact"/>
                    <w:rPr>
                      <w:rFonts w:ascii="宋体" w:hAnsi="宋体"/>
                      <w:color w:val="000000"/>
                      <w:sz w:val="18"/>
                      <w:szCs w:val="18"/>
                    </w:rPr>
                  </w:pPr>
                  <w:r>
                    <w:rPr>
                      <w:rFonts w:ascii="宋体" w:hAnsi="宋体"/>
                      <w:color w:val="000000"/>
                      <w:sz w:val="18"/>
                      <w:szCs w:val="18"/>
                    </w:rPr>
                    <w:t>作业列表：做作业，完成选择的作业并提交。</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自我测试</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教师给出题范围、题型、数量、难度等，由系统随机生成自测试卷供学生自测。学生完成自测后提交</w:t>
                  </w:r>
                  <w:r>
                    <w:rPr>
                      <w:rFonts w:hint="eastAsia" w:ascii="宋体" w:hAnsi="宋体"/>
                      <w:color w:val="000000"/>
                      <w:sz w:val="18"/>
                      <w:szCs w:val="18"/>
                    </w:rPr>
                    <w:t>，</w:t>
                  </w:r>
                  <w:r>
                    <w:rPr>
                      <w:rFonts w:ascii="宋体" w:hAnsi="宋体"/>
                      <w:color w:val="000000"/>
                      <w:sz w:val="18"/>
                      <w:szCs w:val="18"/>
                    </w:rPr>
                    <w:t>客观题部分由系统自动批改并显示正确答案。</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模拟试卷</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下载或在线完成模拟试卷。</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我的错题</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对于作业和在线自测，系统提供“我的错题”的功能，以巩固学生对题目的掌握，系统将学生做错的题目自动放入错题集中，学生随时可以查阅“我的错题集”，并可进行错题集的移除操作。</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课堂笔记</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课程笔记是指学生可以记录下本门课程的重点信息，方便以后查看。记录笔记时，只要输入内容即可，当鼠标焦点移开后，系统为自动保存。</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教学过程</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教学过程监控主要是利用控制在视频播放过程中的限制，达到对教学质量保障的目的。</w:t>
                  </w:r>
                </w:p>
                <w:p>
                  <w:pPr>
                    <w:snapToGrid w:val="0"/>
                    <w:spacing w:line="380" w:lineRule="exact"/>
                    <w:rPr>
                      <w:rFonts w:ascii="宋体" w:hAnsi="宋体"/>
                      <w:color w:val="000000"/>
                      <w:sz w:val="18"/>
                      <w:szCs w:val="18"/>
                    </w:rPr>
                  </w:pPr>
                  <w:r>
                    <w:rPr>
                      <w:rFonts w:ascii="宋体" w:hAnsi="宋体"/>
                      <w:color w:val="000000"/>
                      <w:sz w:val="18"/>
                      <w:szCs w:val="18"/>
                    </w:rPr>
                    <w:t>限制视频课件快进播放。限制视频课件快进功能是为了避免在学习过程中通过视频快进不学习课程，将课程视频迅速的跳过。</w:t>
                  </w:r>
                </w:p>
                <w:p>
                  <w:pPr>
                    <w:snapToGrid w:val="0"/>
                    <w:spacing w:line="380" w:lineRule="exact"/>
                    <w:rPr>
                      <w:rFonts w:ascii="宋体" w:hAnsi="宋体"/>
                      <w:color w:val="000000"/>
                      <w:sz w:val="18"/>
                      <w:szCs w:val="18"/>
                    </w:rPr>
                  </w:pPr>
                  <w:r>
                    <w:rPr>
                      <w:rFonts w:ascii="宋体" w:hAnsi="宋体"/>
                      <w:color w:val="000000"/>
                      <w:sz w:val="18"/>
                      <w:szCs w:val="18"/>
                    </w:rPr>
                    <w:t>保证每个章节学习任务都能完成，并且可以按照课程所安排的学习逻辑顺序</w:t>
                  </w:r>
                  <w:r>
                    <w:rPr>
                      <w:rFonts w:hint="eastAsia" w:ascii="宋体" w:hAnsi="宋体"/>
                      <w:color w:val="000000"/>
                      <w:sz w:val="18"/>
                      <w:szCs w:val="18"/>
                    </w:rPr>
                    <w:t>学习，保证</w:t>
                  </w:r>
                  <w:r>
                    <w:rPr>
                      <w:rFonts w:ascii="宋体" w:hAnsi="宋体"/>
                      <w:color w:val="000000"/>
                      <w:sz w:val="18"/>
                      <w:szCs w:val="18"/>
                    </w:rPr>
                    <w:t>学习效果和连贯性。</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断点续播</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断点续播方便学生在临时关闭视频播放之后可以准确找到之前学习进度进行续点学习。</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跨平台播放</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MP4格式的视频，采用H.264视频编码标准。</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restart"/>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6</w:t>
                  </w:r>
                </w:p>
              </w:tc>
              <w:tc>
                <w:tcPr>
                  <w:tcW w:w="1150" w:type="dxa"/>
                  <w:vMerge w:val="restart"/>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学习支持服务</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在线学习管理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教学计划展示、学生学习记录查询、学习进度统计、作业完成统计、平时成绩管理</w:t>
                  </w:r>
                  <w:r>
                    <w:rPr>
                      <w:rFonts w:hint="eastAsia" w:ascii="宋体" w:hAnsi="宋体"/>
                      <w:color w:val="000000"/>
                      <w:sz w:val="18"/>
                      <w:szCs w:val="18"/>
                    </w:rPr>
                    <w:t>、在线学习监控。</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混合学习</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线下活动（</w:t>
                  </w:r>
                  <w:r>
                    <w:rPr>
                      <w:rFonts w:hint="eastAsia" w:ascii="宋体" w:hAnsi="宋体"/>
                      <w:color w:val="000000"/>
                      <w:sz w:val="18"/>
                      <w:szCs w:val="18"/>
                    </w:rPr>
                    <w:t>授课</w:t>
                  </w:r>
                  <w:r>
                    <w:rPr>
                      <w:rFonts w:ascii="宋体" w:hAnsi="宋体"/>
                      <w:color w:val="000000"/>
                      <w:sz w:val="18"/>
                      <w:szCs w:val="18"/>
                    </w:rPr>
                    <w:t>安排、学习交流、现场互动等）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学习社区管理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学生活动情况查询</w:t>
                  </w:r>
                </w:p>
                <w:p>
                  <w:pPr>
                    <w:snapToGrid w:val="0"/>
                    <w:spacing w:line="380" w:lineRule="exact"/>
                    <w:rPr>
                      <w:rFonts w:ascii="宋体" w:hAnsi="宋体"/>
                      <w:color w:val="000000"/>
                      <w:sz w:val="18"/>
                      <w:szCs w:val="18"/>
                    </w:rPr>
                  </w:pPr>
                  <w:r>
                    <w:rPr>
                      <w:rFonts w:ascii="宋体" w:hAnsi="宋体"/>
                      <w:color w:val="000000"/>
                      <w:sz w:val="18"/>
                      <w:szCs w:val="18"/>
                    </w:rPr>
                    <w:t>学习社区管理</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数据统计</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hint="eastAsia" w:ascii="宋体" w:hAnsi="宋体"/>
                      <w:color w:val="000000"/>
                      <w:sz w:val="18"/>
                      <w:szCs w:val="18"/>
                    </w:rPr>
                    <w:t>每日学习情况统计，课程</w:t>
                  </w:r>
                  <w:r>
                    <w:rPr>
                      <w:rFonts w:ascii="宋体" w:hAnsi="宋体"/>
                      <w:color w:val="000000"/>
                      <w:sz w:val="18"/>
                      <w:szCs w:val="18"/>
                    </w:rPr>
                    <w:t>学习情况</w:t>
                  </w:r>
                  <w:r>
                    <w:rPr>
                      <w:rFonts w:hint="eastAsia" w:ascii="宋体" w:hAnsi="宋体"/>
                      <w:color w:val="000000"/>
                      <w:sz w:val="18"/>
                      <w:szCs w:val="18"/>
                    </w:rPr>
                    <w:t>统计</w:t>
                  </w:r>
                  <w:r>
                    <w:rPr>
                      <w:rFonts w:ascii="宋体" w:hAnsi="宋体"/>
                      <w:color w:val="000000"/>
                      <w:sz w:val="18"/>
                      <w:szCs w:val="18"/>
                    </w:rPr>
                    <w:t>，</w:t>
                  </w:r>
                  <w:r>
                    <w:rPr>
                      <w:rFonts w:hint="eastAsia" w:ascii="宋体" w:hAnsi="宋体"/>
                      <w:color w:val="000000"/>
                      <w:sz w:val="18"/>
                      <w:szCs w:val="18"/>
                    </w:rPr>
                    <w:t>学习进度查询</w:t>
                  </w:r>
                  <w:r>
                    <w:rPr>
                      <w:rFonts w:ascii="宋体" w:hAnsi="宋体"/>
                      <w:color w:val="000000"/>
                      <w:sz w:val="18"/>
                      <w:szCs w:val="18"/>
                    </w:rPr>
                    <w:t>。并可</w:t>
                  </w:r>
                  <w:r>
                    <w:rPr>
                      <w:rFonts w:hint="eastAsia" w:ascii="宋体" w:hAnsi="宋体"/>
                      <w:color w:val="000000"/>
                      <w:sz w:val="18"/>
                      <w:szCs w:val="18"/>
                    </w:rPr>
                    <w:t>随时导出Excel</w:t>
                  </w:r>
                  <w:r>
                    <w:rPr>
                      <w:rFonts w:ascii="宋体" w:hAnsi="宋体"/>
                      <w:color w:val="000000"/>
                      <w:sz w:val="18"/>
                      <w:szCs w:val="18"/>
                    </w:rPr>
                    <w:t>。</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7</w:t>
                  </w:r>
                </w:p>
              </w:tc>
              <w:tc>
                <w:tcPr>
                  <w:tcW w:w="1150"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互动交流</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课程论坛</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交互园地包括：课程BBS（主题讨论、自由讨论）、实时答疑、答疑集锦等。搜索讨论区；浏览话题和文章；发表话题和文章。</w:t>
                  </w:r>
                </w:p>
                <w:p>
                  <w:pPr>
                    <w:snapToGrid w:val="0"/>
                    <w:spacing w:line="380" w:lineRule="exact"/>
                    <w:rPr>
                      <w:rFonts w:ascii="宋体" w:hAnsi="宋体"/>
                      <w:color w:val="000000"/>
                      <w:sz w:val="18"/>
                      <w:szCs w:val="18"/>
                    </w:rPr>
                  </w:pPr>
                  <w:r>
                    <w:rPr>
                      <w:rFonts w:ascii="宋体" w:hAnsi="宋体"/>
                      <w:color w:val="000000"/>
                      <w:sz w:val="18"/>
                      <w:szCs w:val="18"/>
                    </w:rPr>
                    <w:t>1、主题讨论： 对每学期发布的主题、</w:t>
                  </w:r>
                  <w:r>
                    <w:rPr>
                      <w:rFonts w:hint="eastAsia" w:ascii="宋体" w:hAnsi="宋体"/>
                      <w:color w:val="000000"/>
                      <w:sz w:val="18"/>
                      <w:szCs w:val="18"/>
                    </w:rPr>
                    <w:t>帖子</w:t>
                  </w:r>
                  <w:r>
                    <w:rPr>
                      <w:rFonts w:ascii="宋体" w:hAnsi="宋体"/>
                      <w:color w:val="000000"/>
                      <w:sz w:val="18"/>
                      <w:szCs w:val="18"/>
                    </w:rPr>
                    <w:t>进行自动锁定、学生可以查看但不能对该贴进回复等操作；教师增加的主题讨论，系统可自动在课程通知中通知相关用户。</w:t>
                  </w:r>
                </w:p>
                <w:p>
                  <w:pPr>
                    <w:snapToGrid w:val="0"/>
                    <w:spacing w:line="380" w:lineRule="exact"/>
                    <w:rPr>
                      <w:rFonts w:ascii="宋体" w:hAnsi="宋体"/>
                      <w:color w:val="000000"/>
                      <w:sz w:val="18"/>
                      <w:szCs w:val="18"/>
                    </w:rPr>
                  </w:pPr>
                  <w:r>
                    <w:rPr>
                      <w:rFonts w:ascii="宋体" w:hAnsi="宋体"/>
                      <w:color w:val="000000"/>
                      <w:sz w:val="18"/>
                      <w:szCs w:val="18"/>
                    </w:rPr>
                    <w:t>2、自由讨论：师生可以在此进行自由的讨论。</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课程答疑</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答疑集锦：智能集锦是系统利用答疑库中大量与课程学习相关的学习资料，对学生提供的问题，通过关键词进行搜索的方式进行解答，以充分利用答疑库，减轻教师负担。</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150"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论坛管理</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包括论坛人员权限设置、以及修改、删除、关闭各帖子，设置精华帖，维护黑名单等。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8</w:t>
                  </w:r>
                </w:p>
              </w:tc>
              <w:tc>
                <w:tcPr>
                  <w:tcW w:w="1150" w:type="dxa"/>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教学评价</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客观评价</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包括用户信息统计、学习课程及资源访问统计、作业情况统计、学习过程情况统计、课程查询、教学情况查询、栏目访问量等。</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hint="eastAsia" w:ascii="宋体" w:hAnsi="宋体"/>
                      <w:color w:val="000000"/>
                      <w:sz w:val="18"/>
                      <w:szCs w:val="18"/>
                    </w:rPr>
                    <w:t>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43" w:type="dxa"/>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9</w:t>
                  </w:r>
                </w:p>
              </w:tc>
              <w:tc>
                <w:tcPr>
                  <w:tcW w:w="1150" w:type="dxa"/>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数据接口</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按需定制</w:t>
                  </w:r>
                </w:p>
              </w:tc>
              <w:tc>
                <w:tcPr>
                  <w:tcW w:w="48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与继续教育管理系统进行数据对接。招生管理、教务管理、学籍管理等功能在继续教育管理系统中进行。</w:t>
                  </w:r>
                </w:p>
              </w:tc>
              <w:tc>
                <w:tcPr>
                  <w:tcW w:w="79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必须</w:t>
                  </w:r>
                </w:p>
              </w:tc>
            </w:tr>
          </w:tbl>
          <w:p>
            <w:pPr>
              <w:snapToGrid w:val="0"/>
              <w:spacing w:line="380" w:lineRule="exact"/>
              <w:ind w:firstLine="450" w:firstLineChars="250"/>
              <w:rPr>
                <w:rFonts w:ascii="宋体" w:hAnsi="宋体"/>
                <w:color w:val="000000"/>
                <w:sz w:val="18"/>
                <w:szCs w:val="18"/>
              </w:rPr>
            </w:pPr>
            <w:bookmarkStart w:id="1" w:name="_Toc450726754"/>
            <w:r>
              <w:rPr>
                <w:rFonts w:hint="eastAsia" w:ascii="宋体" w:hAnsi="宋体"/>
                <w:color w:val="000000"/>
                <w:sz w:val="18"/>
                <w:szCs w:val="18"/>
              </w:rPr>
              <w:t>3、网络在线教学平台</w:t>
            </w:r>
            <w:r>
              <w:rPr>
                <w:rFonts w:ascii="宋体" w:hAnsi="宋体"/>
                <w:color w:val="000000"/>
                <w:sz w:val="18"/>
                <w:szCs w:val="18"/>
              </w:rPr>
              <w:t>主要技术</w:t>
            </w:r>
            <w:bookmarkEnd w:id="1"/>
            <w:r>
              <w:rPr>
                <w:rFonts w:hint="eastAsia" w:ascii="宋体" w:hAnsi="宋体"/>
                <w:color w:val="000000"/>
                <w:sz w:val="18"/>
                <w:szCs w:val="18"/>
              </w:rPr>
              <w:t>要求</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平台技术实现：</w:t>
            </w:r>
            <w:r>
              <w:rPr>
                <w:rFonts w:hint="eastAsia" w:ascii="宋体" w:hAnsi="宋体"/>
                <w:color w:val="000000"/>
                <w:sz w:val="18"/>
                <w:szCs w:val="18"/>
              </w:rPr>
              <w:t>业务逻辑准确，工作流程清晰，各项数据可信，重要统计功能完备，系统操作简捷，运行稳健高效。</w:t>
            </w:r>
            <w:r>
              <w:rPr>
                <w:rFonts w:ascii="宋体" w:hAnsi="宋体"/>
                <w:color w:val="000000"/>
                <w:sz w:val="18"/>
                <w:szCs w:val="18"/>
              </w:rPr>
              <w:t>平台运行所在服务器的操作系统应为主流操作系统，平台采用</w:t>
            </w:r>
            <w:r>
              <w:rPr>
                <w:rFonts w:hint="eastAsia" w:ascii="宋体" w:hAnsi="宋体"/>
                <w:color w:val="000000"/>
                <w:sz w:val="18"/>
                <w:szCs w:val="18"/>
              </w:rPr>
              <w:t>主流</w:t>
            </w:r>
            <w:r>
              <w:rPr>
                <w:rFonts w:ascii="宋体" w:hAnsi="宋体"/>
                <w:color w:val="000000"/>
                <w:sz w:val="18"/>
                <w:szCs w:val="18"/>
              </w:rPr>
              <w:t>技术开发，支持大中型数据库（如Oracle、SQL server等）。</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2</w:t>
            </w:r>
            <w:r>
              <w:rPr>
                <w:rFonts w:hint="eastAsia" w:ascii="宋体" w:hAnsi="宋体"/>
                <w:color w:val="000000"/>
                <w:sz w:val="18"/>
                <w:szCs w:val="18"/>
              </w:rPr>
              <w:t>）</w:t>
            </w:r>
            <w:r>
              <w:rPr>
                <w:rFonts w:ascii="宋体" w:hAnsi="宋体"/>
                <w:color w:val="000000"/>
                <w:sz w:val="18"/>
                <w:szCs w:val="18"/>
              </w:rPr>
              <w:t>平台承载能力：</w:t>
            </w:r>
            <w:r>
              <w:rPr>
                <w:rFonts w:hint="eastAsia" w:ascii="宋体" w:hAnsi="宋体"/>
                <w:color w:val="000000"/>
                <w:sz w:val="18"/>
                <w:szCs w:val="18"/>
              </w:rPr>
              <w:t>满足</w:t>
            </w:r>
            <w:r>
              <w:rPr>
                <w:rFonts w:ascii="宋体" w:hAnsi="宋体"/>
                <w:color w:val="000000"/>
                <w:sz w:val="18"/>
                <w:szCs w:val="18"/>
              </w:rPr>
              <w:t>3000用户并发</w:t>
            </w:r>
            <w:r>
              <w:rPr>
                <w:rFonts w:hint="eastAsia" w:ascii="宋体" w:hAnsi="宋体"/>
                <w:color w:val="000000"/>
                <w:sz w:val="18"/>
                <w:szCs w:val="18"/>
              </w:rPr>
              <w:t>需求</w:t>
            </w:r>
            <w:r>
              <w:rPr>
                <w:rFonts w:ascii="宋体" w:hAnsi="宋体"/>
                <w:color w:val="000000"/>
                <w:sz w:val="18"/>
                <w:szCs w:val="18"/>
              </w:rPr>
              <w:t>，适应学院</w:t>
            </w:r>
            <w:r>
              <w:rPr>
                <w:rFonts w:hint="eastAsia" w:ascii="宋体" w:hAnsi="宋体"/>
                <w:color w:val="000000"/>
                <w:sz w:val="18"/>
                <w:szCs w:val="18"/>
              </w:rPr>
              <w:t>2万人在籍学生</w:t>
            </w:r>
            <w:r>
              <w:rPr>
                <w:rFonts w:hint="eastAsia" w:ascii="Arial" w:hAnsi="Arial" w:cs="Arial"/>
                <w:sz w:val="18"/>
                <w:szCs w:val="18"/>
              </w:rPr>
              <w:t>在线学习和管理，</w:t>
            </w:r>
            <w:r>
              <w:rPr>
                <w:rFonts w:ascii="Arial" w:hAnsi="Arial" w:cs="Arial"/>
                <w:sz w:val="18"/>
                <w:szCs w:val="18"/>
              </w:rPr>
              <w:t>满</w:t>
            </w:r>
            <w:r>
              <w:rPr>
                <w:rFonts w:ascii="宋体" w:hAnsi="宋体"/>
                <w:color w:val="000000"/>
                <w:sz w:val="18"/>
                <w:szCs w:val="18"/>
              </w:rPr>
              <w:t>足20万级</w:t>
            </w:r>
            <w:r>
              <w:rPr>
                <w:rFonts w:hint="eastAsia" w:ascii="宋体" w:hAnsi="宋体"/>
                <w:color w:val="000000"/>
                <w:sz w:val="18"/>
                <w:szCs w:val="18"/>
              </w:rPr>
              <w:t>以上</w:t>
            </w:r>
            <w:r>
              <w:rPr>
                <w:rFonts w:ascii="宋体" w:hAnsi="宋体"/>
                <w:color w:val="000000"/>
                <w:sz w:val="18"/>
                <w:szCs w:val="18"/>
              </w:rPr>
              <w:t>用户注册。</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（3）</w:t>
            </w:r>
            <w:r>
              <w:rPr>
                <w:rFonts w:ascii="宋体" w:hAnsi="宋体"/>
                <w:color w:val="000000"/>
                <w:sz w:val="18"/>
                <w:szCs w:val="18"/>
              </w:rPr>
              <w:t xml:space="preserve"> 平台提供统一身份认证体系</w:t>
            </w:r>
            <w:r>
              <w:rPr>
                <w:rFonts w:hint="eastAsia" w:ascii="宋体" w:hAnsi="宋体"/>
                <w:color w:val="000000"/>
                <w:sz w:val="18"/>
                <w:szCs w:val="18"/>
              </w:rPr>
              <w:t>：</w:t>
            </w:r>
            <w:r>
              <w:rPr>
                <w:rFonts w:ascii="宋体" w:hAnsi="宋体"/>
                <w:color w:val="000000"/>
                <w:sz w:val="18"/>
                <w:szCs w:val="18"/>
              </w:rPr>
              <w:t>通过设置参数管理，为学院、教学站、教师和学生不同角色提供相应权限管理及服务，提供学习过程管理及学生学习预警信息，提供操作日志管理、系统备份策略。</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（4）</w:t>
            </w:r>
            <w:r>
              <w:rPr>
                <w:rFonts w:ascii="宋体" w:hAnsi="宋体"/>
                <w:color w:val="000000"/>
                <w:sz w:val="18"/>
                <w:szCs w:val="18"/>
              </w:rPr>
              <w:t>平台必须具备如下核心功能（</w:t>
            </w:r>
            <w:r>
              <w:rPr>
                <w:rFonts w:hint="eastAsia" w:ascii="宋体" w:hAnsi="宋体"/>
                <w:color w:val="000000"/>
                <w:sz w:val="18"/>
                <w:szCs w:val="18"/>
              </w:rPr>
              <w:t>详</w:t>
            </w:r>
            <w:r>
              <w:rPr>
                <w:rFonts w:ascii="宋体" w:hAnsi="宋体"/>
                <w:color w:val="000000"/>
                <w:sz w:val="18"/>
                <w:szCs w:val="18"/>
              </w:rPr>
              <w:t>见平台主要功能点中标记为“必须”的部分）：</w:t>
            </w:r>
            <w:r>
              <w:rPr>
                <w:rFonts w:hint="eastAsia" w:ascii="宋体" w:hAnsi="宋体"/>
                <w:color w:val="000000"/>
                <w:sz w:val="18"/>
                <w:szCs w:val="18"/>
              </w:rPr>
              <w:t>系统管理、教学日程、课程管理、课程设置及课程建设、课程学习、学习支持、互动交流、教学评价</w:t>
            </w:r>
            <w:r>
              <w:rPr>
                <w:rFonts w:ascii="宋体" w:hAnsi="宋体"/>
                <w:color w:val="000000"/>
                <w:sz w:val="18"/>
                <w:szCs w:val="18"/>
              </w:rPr>
              <w:t>。</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（5）</w:t>
            </w:r>
            <w:r>
              <w:rPr>
                <w:rFonts w:ascii="宋体" w:hAnsi="宋体"/>
                <w:color w:val="000000"/>
                <w:sz w:val="18"/>
                <w:szCs w:val="18"/>
              </w:rPr>
              <w:t>平台支持SCORM 1.2的标准课程导入（便于学院引入第三方课件及资源）。</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（6）</w:t>
            </w:r>
            <w:r>
              <w:rPr>
                <w:rFonts w:ascii="宋体" w:hAnsi="宋体"/>
                <w:color w:val="000000"/>
                <w:sz w:val="18"/>
                <w:szCs w:val="18"/>
              </w:rPr>
              <w:t>系统兼容性强，指定核心课程必须支持跨平台、跨终端播放（视频媒体文件为MP4格式，采用H.264编码压缩</w:t>
            </w:r>
            <w:r>
              <w:rPr>
                <w:rFonts w:hint="eastAsia" w:ascii="宋体" w:hAnsi="宋体"/>
                <w:color w:val="000000"/>
                <w:sz w:val="18"/>
                <w:szCs w:val="18"/>
              </w:rPr>
              <w:t>），学生学习平台支持PC桌面系统、移动终端（支持苹果和安卓系统的手机）</w:t>
            </w:r>
            <w:r>
              <w:rPr>
                <w:rFonts w:ascii="宋体" w:hAnsi="宋体"/>
                <w:color w:val="000000"/>
                <w:sz w:val="18"/>
                <w:szCs w:val="18"/>
              </w:rPr>
              <w:t>，要求学习过程数据PC桌面系统与移动学习APP同步更新。</w:t>
            </w:r>
          </w:p>
          <w:p>
            <w:pPr>
              <w:snapToGrid w:val="0"/>
              <w:spacing w:line="380" w:lineRule="exact"/>
              <w:ind w:firstLine="450" w:firstLineChars="250"/>
              <w:rPr>
                <w:rFonts w:hint="eastAsia"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7</w:t>
            </w:r>
            <w:r>
              <w:rPr>
                <w:rFonts w:hint="eastAsia" w:ascii="宋体" w:hAnsi="宋体"/>
                <w:color w:val="000000"/>
                <w:sz w:val="18"/>
                <w:szCs w:val="18"/>
              </w:rPr>
              <w:t>）</w:t>
            </w:r>
            <w:r>
              <w:rPr>
                <w:rFonts w:ascii="宋体" w:hAnsi="宋体"/>
                <w:color w:val="000000"/>
                <w:sz w:val="18"/>
                <w:szCs w:val="18"/>
              </w:rPr>
              <w:t>平台的系统提供主动非需求性升级方案（系统功能的主动升级、履约范围内课程内容的主动更新），以满足用户端软件使用环境的变化；在保证系统稳定、数据安全的基础上，提供合理高效的服务构架整合、网络线路配置与优化等技术方案，要求提供系统服务的连通率为</w:t>
            </w:r>
            <w:r>
              <w:rPr>
                <w:rFonts w:hint="eastAsia" w:ascii="宋体" w:hAnsi="宋体"/>
                <w:color w:val="000000"/>
                <w:sz w:val="18"/>
                <w:szCs w:val="18"/>
              </w:rPr>
              <w:t>99%，</w:t>
            </w:r>
            <w:r>
              <w:rPr>
                <w:rFonts w:ascii="宋体" w:hAnsi="宋体"/>
                <w:color w:val="000000"/>
                <w:sz w:val="18"/>
                <w:szCs w:val="18"/>
              </w:rPr>
              <w:t>具有对硬件、软件及网络运行状态的信息维护、远程监控和管理能力。</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（8）平台提供在线缴费功能，由学员自动通过网银或第三方平台（支付宝、微信等）缴纳使用费用。</w:t>
            </w:r>
          </w:p>
          <w:p>
            <w:pPr>
              <w:snapToGrid w:val="0"/>
              <w:spacing w:line="380" w:lineRule="exact"/>
              <w:rPr>
                <w:rFonts w:ascii="宋体" w:hAnsi="宋体"/>
                <w:b/>
                <w:color w:val="000000"/>
                <w:sz w:val="18"/>
                <w:szCs w:val="18"/>
              </w:rPr>
            </w:pPr>
            <w:bookmarkStart w:id="2" w:name="_Toc456013406"/>
            <w:r>
              <w:rPr>
                <w:rFonts w:hint="eastAsia" w:ascii="宋体" w:hAnsi="宋体"/>
                <w:b/>
                <w:color w:val="000000"/>
                <w:sz w:val="18"/>
                <w:szCs w:val="18"/>
              </w:rPr>
              <w:t>二、网络课程</w:t>
            </w:r>
            <w:bookmarkEnd w:id="2"/>
            <w:r>
              <w:rPr>
                <w:rFonts w:hint="eastAsia" w:ascii="宋体" w:hAnsi="宋体"/>
                <w:b/>
                <w:color w:val="000000"/>
                <w:sz w:val="18"/>
                <w:szCs w:val="18"/>
              </w:rPr>
              <w:t>要求</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1、课程种类</w:t>
            </w:r>
          </w:p>
          <w:p>
            <w:pPr>
              <w:snapToGrid w:val="0"/>
              <w:spacing w:line="380" w:lineRule="exact"/>
              <w:ind w:firstLine="450" w:firstLineChars="250"/>
              <w:rPr>
                <w:rFonts w:ascii="宋体" w:hAnsi="宋体"/>
                <w:color w:val="000000"/>
                <w:sz w:val="18"/>
                <w:szCs w:val="18"/>
              </w:rPr>
            </w:pPr>
            <w:r>
              <w:rPr>
                <w:rFonts w:hint="eastAsia" w:ascii="宋体" w:hAnsi="宋体"/>
                <w:color w:val="000000"/>
                <w:sz w:val="18"/>
                <w:szCs w:val="18"/>
              </w:rPr>
              <w:t>（1）共建网络课程：根据采购方（以下简称甲方）学科设计，教学大纲，课程安排，配合甲方教师在甲方场地，录制多媒体课程，创建完整的多媒体课件。根据甲方不同需求，设计课程结构，形式，与甲方共同合作开发的课程，版权归甲方所有。</w:t>
            </w:r>
          </w:p>
          <w:p>
            <w:pPr>
              <w:snapToGrid w:val="0"/>
              <w:spacing w:line="380" w:lineRule="exact"/>
              <w:ind w:firstLine="360" w:firstLineChars="200"/>
              <w:rPr>
                <w:rFonts w:ascii="宋体" w:hAnsi="宋体"/>
                <w:color w:val="000000"/>
                <w:sz w:val="18"/>
                <w:szCs w:val="18"/>
              </w:rPr>
            </w:pPr>
            <w:r>
              <w:rPr>
                <w:rFonts w:hint="eastAsia" w:ascii="宋体" w:hAnsi="宋体"/>
                <w:color w:val="000000"/>
                <w:sz w:val="18"/>
                <w:szCs w:val="18"/>
              </w:rPr>
              <w:t>（2）共享网络课程：由中标方（以下简称乙方）课程资源中心提供与甲方教学相匹配的网络课程，甲方根据自身课程安排和教学需要，从乙方资源中心选取共享课程，学生通过共享云端平台学习使用的课程。</w:t>
            </w:r>
          </w:p>
          <w:p>
            <w:pPr>
              <w:ind w:firstLine="360" w:firstLineChars="200"/>
              <w:rPr>
                <w:rFonts w:ascii="宋体" w:hAnsi="宋体"/>
                <w:color w:val="000000"/>
                <w:sz w:val="18"/>
                <w:szCs w:val="18"/>
              </w:rPr>
            </w:pPr>
            <w:r>
              <w:rPr>
                <w:rFonts w:hint="eastAsia" w:ascii="宋体" w:hAnsi="宋体"/>
                <w:color w:val="000000"/>
                <w:sz w:val="18"/>
                <w:szCs w:val="18"/>
              </w:rPr>
              <w:t>（3）分植网络课程：甲方可以根据自身课程安排和教学需要，从乙方课程资源中心选取相应课程，购买后部署在甲方专属的本地学习平台上，供学生学习使用，甲方仅拥有使用权。本次招标不涉及此类课程。</w:t>
            </w:r>
          </w:p>
          <w:p>
            <w:pPr>
              <w:ind w:firstLine="360" w:firstLineChars="200"/>
              <w:rPr>
                <w:rFonts w:ascii="宋体" w:hAnsi="宋体"/>
                <w:color w:val="000000"/>
                <w:sz w:val="18"/>
                <w:szCs w:val="18"/>
              </w:rPr>
            </w:pPr>
          </w:p>
          <w:p>
            <w:pPr>
              <w:ind w:firstLine="360" w:firstLineChars="200"/>
              <w:rPr>
                <w:sz w:val="18"/>
                <w:szCs w:val="18"/>
              </w:rPr>
            </w:pPr>
            <w:r>
              <w:rPr>
                <w:rFonts w:hint="eastAsia" w:ascii="宋体" w:hAnsi="宋体"/>
                <w:color w:val="000000"/>
                <w:sz w:val="18"/>
                <w:szCs w:val="18"/>
              </w:rPr>
              <w:t>2、课程形式</w:t>
            </w:r>
          </w:p>
          <w:p>
            <w:pPr>
              <w:snapToGrid w:val="0"/>
              <w:spacing w:line="380" w:lineRule="exact"/>
              <w:jc w:val="center"/>
              <w:rPr>
                <w:rFonts w:ascii="宋体" w:hAnsi="宋体"/>
                <w:color w:val="000000"/>
                <w:sz w:val="18"/>
                <w:szCs w:val="18"/>
              </w:rPr>
            </w:pPr>
            <w:bookmarkStart w:id="3" w:name="OLE_LINK3"/>
            <w:r>
              <w:rPr>
                <w:rFonts w:hint="eastAsia" w:ascii="宋体" w:hAnsi="宋体"/>
                <w:color w:val="000000"/>
                <w:sz w:val="18"/>
                <w:szCs w:val="18"/>
              </w:rPr>
              <w:t>表2、普通课程（支持PC、移动终端应用）</w:t>
            </w:r>
          </w:p>
          <w:bookmarkEnd w:id="3"/>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362"/>
              <w:gridCol w:w="4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blHeader/>
              </w:trPr>
              <w:tc>
                <w:tcPr>
                  <w:tcW w:w="674"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类型</w:t>
                  </w:r>
                </w:p>
              </w:tc>
              <w:tc>
                <w:tcPr>
                  <w:tcW w:w="33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表现形式</w:t>
                  </w:r>
                  <w:r>
                    <w:rPr>
                      <w:rFonts w:hint="eastAsia" w:ascii="宋体" w:hAnsi="宋体"/>
                      <w:color w:val="000000"/>
                      <w:sz w:val="18"/>
                      <w:szCs w:val="18"/>
                    </w:rPr>
                    <w:t>及性能要求</w:t>
                  </w:r>
                </w:p>
              </w:tc>
              <w:tc>
                <w:tcPr>
                  <w:tcW w:w="4719"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3" w:hRule="atLeast"/>
              </w:trPr>
              <w:tc>
                <w:tcPr>
                  <w:tcW w:w="674"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ppt资料型</w:t>
                  </w:r>
                </w:p>
              </w:tc>
              <w:tc>
                <w:tcPr>
                  <w:tcW w:w="3362" w:type="dxa"/>
                  <w:tcBorders>
                    <w:top w:val="single" w:color="auto" w:sz="4" w:space="0"/>
                    <w:left w:val="single" w:color="auto" w:sz="4" w:space="0"/>
                    <w:bottom w:val="single" w:color="auto" w:sz="4" w:space="0"/>
                    <w:right w:val="single" w:color="auto" w:sz="4" w:space="0"/>
                  </w:tcBorders>
                  <w:vAlign w:val="center"/>
                </w:tcPr>
                <w:p>
                  <w:pPr>
                    <w:pStyle w:val="13"/>
                    <w:numPr>
                      <w:ilvl w:val="0"/>
                      <w:numId w:val="1"/>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课件具有目录、进度条、导航控制按钮、书签跟踪功能、符合Scrom标准；</w:t>
                  </w:r>
                </w:p>
                <w:p>
                  <w:pPr>
                    <w:pStyle w:val="13"/>
                    <w:numPr>
                      <w:ilvl w:val="0"/>
                      <w:numId w:val="1"/>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客户提供PPT及授课讲稿，将客户PPT直接转化为Flash课件，课件页面相对静态；</w:t>
                  </w:r>
                </w:p>
                <w:p>
                  <w:pPr>
                    <w:pStyle w:val="13"/>
                    <w:numPr>
                      <w:ilvl w:val="0"/>
                      <w:numId w:val="1"/>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 xml:space="preserve">能记录PPT设置的动画效果； </w:t>
                  </w:r>
                </w:p>
                <w:p>
                  <w:pPr>
                    <w:pStyle w:val="13"/>
                    <w:numPr>
                      <w:ilvl w:val="0"/>
                      <w:numId w:val="1"/>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具有测试/互动功能。</w:t>
                  </w:r>
                  <w:r>
                    <w:rPr>
                      <w:rFonts w:hint="eastAsia" w:ascii="宋体" w:hAnsi="宋体"/>
                      <w:color w:val="000000"/>
                      <w:sz w:val="18"/>
                      <w:szCs w:val="18"/>
                      <w:lang w:bidi="ar-SA"/>
                    </w:rPr>
                    <w:t xml:space="preserve">  </w:t>
                  </w:r>
                </w:p>
              </w:tc>
              <w:tc>
                <w:tcPr>
                  <w:tcW w:w="4719" w:type="dxa"/>
                  <w:tcBorders>
                    <w:top w:val="single" w:color="auto" w:sz="4" w:space="0"/>
                    <w:left w:val="single" w:color="auto" w:sz="4" w:space="0"/>
                    <w:bottom w:val="single" w:color="auto" w:sz="4" w:space="0"/>
                    <w:right w:val="single" w:color="auto" w:sz="4" w:space="0"/>
                  </w:tcBorders>
                </w:tcPr>
                <w:p>
                  <w:pPr>
                    <w:spacing w:before="60" w:after="60"/>
                    <w:rPr>
                      <w:sz w:val="18"/>
                      <w:szCs w:val="18"/>
                    </w:rPr>
                  </w:pPr>
                  <w:r>
                    <w:rPr>
                      <w:sz w:val="18"/>
                      <w:szCs w:val="18"/>
                    </w:rPr>
                    <w:drawing>
                      <wp:anchor distT="0" distB="0" distL="114300" distR="114300" simplePos="0" relativeHeight="251661312" behindDoc="0" locked="0" layoutInCell="1" allowOverlap="1">
                        <wp:simplePos x="0" y="0"/>
                        <wp:positionH relativeFrom="column">
                          <wp:posOffset>59055</wp:posOffset>
                        </wp:positionH>
                        <wp:positionV relativeFrom="paragraph">
                          <wp:posOffset>89535</wp:posOffset>
                        </wp:positionV>
                        <wp:extent cx="2250440" cy="1522095"/>
                        <wp:effectExtent l="0" t="0" r="0"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50440" cy="1522095"/>
                                </a:xfrm>
                                <a:prstGeom prst="rect">
                                  <a:avLst/>
                                </a:prstGeom>
                                <a:noFill/>
                              </pic:spPr>
                            </pic:pic>
                          </a:graphicData>
                        </a:graphic>
                      </wp:anchor>
                    </w:drawing>
                  </w:r>
                </w:p>
                <w:p>
                  <w:pPr>
                    <w:spacing w:before="60" w:after="60"/>
                    <w:rPr>
                      <w:sz w:val="18"/>
                      <w:szCs w:val="18"/>
                    </w:rPr>
                  </w:pPr>
                </w:p>
                <w:p>
                  <w:pPr>
                    <w:spacing w:before="60" w:after="6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3" w:hRule="atLeast"/>
              </w:trPr>
              <w:tc>
                <w:tcPr>
                  <w:tcW w:w="674"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课堂型</w:t>
                  </w:r>
                </w:p>
              </w:tc>
              <w:tc>
                <w:tcPr>
                  <w:tcW w:w="3362" w:type="dxa"/>
                  <w:tcBorders>
                    <w:top w:val="single" w:color="auto" w:sz="4" w:space="0"/>
                    <w:left w:val="single" w:color="auto" w:sz="4" w:space="0"/>
                    <w:bottom w:val="single" w:color="auto" w:sz="4" w:space="0"/>
                    <w:right w:val="single" w:color="auto" w:sz="4" w:space="0"/>
                  </w:tcBorders>
                  <w:vAlign w:val="center"/>
                </w:tcPr>
                <w:p>
                  <w:pPr>
                    <w:pStyle w:val="13"/>
                    <w:numPr>
                      <w:ilvl w:val="0"/>
                      <w:numId w:val="2"/>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课件具有目录、进度条、导航控制按钮、书签跟踪功能、符合Scrom标准；</w:t>
                  </w:r>
                </w:p>
                <w:p>
                  <w:pPr>
                    <w:pStyle w:val="13"/>
                    <w:numPr>
                      <w:ilvl w:val="0"/>
                      <w:numId w:val="2"/>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三分屏或录像/录音加讲义演示；</w:t>
                  </w:r>
                </w:p>
                <w:p>
                  <w:pPr>
                    <w:pStyle w:val="13"/>
                    <w:numPr>
                      <w:ilvl w:val="0"/>
                      <w:numId w:val="2"/>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讲解与脚本同步；</w:t>
                  </w:r>
                </w:p>
                <w:p>
                  <w:pPr>
                    <w:pStyle w:val="13"/>
                    <w:numPr>
                      <w:ilvl w:val="0"/>
                      <w:numId w:val="2"/>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具有测试/互动功能。</w:t>
                  </w:r>
                </w:p>
              </w:tc>
              <w:tc>
                <w:tcPr>
                  <w:tcW w:w="4719" w:type="dxa"/>
                  <w:tcBorders>
                    <w:top w:val="single" w:color="auto" w:sz="4" w:space="0"/>
                    <w:left w:val="single" w:color="auto" w:sz="4" w:space="0"/>
                    <w:bottom w:val="single" w:color="auto" w:sz="4" w:space="0"/>
                    <w:right w:val="single" w:color="auto" w:sz="4" w:space="0"/>
                  </w:tcBorders>
                </w:tcPr>
                <w:p>
                  <w:pPr>
                    <w:spacing w:before="60" w:after="60"/>
                    <w:rPr>
                      <w:rFonts w:ascii="Calibri" w:hAnsi="Calibri"/>
                      <w:sz w:val="18"/>
                      <w:szCs w:val="18"/>
                    </w:rPr>
                  </w:pPr>
                  <w:r>
                    <w:rPr>
                      <w:sz w:val="18"/>
                      <w:szCs w:val="18"/>
                    </w:rPr>
                    <w:drawing>
                      <wp:anchor distT="0" distB="0" distL="114300" distR="114300" simplePos="0" relativeHeight="251659264" behindDoc="0" locked="0" layoutInCell="1" allowOverlap="1">
                        <wp:simplePos x="0" y="0"/>
                        <wp:positionH relativeFrom="column">
                          <wp:posOffset>-17145</wp:posOffset>
                        </wp:positionH>
                        <wp:positionV relativeFrom="paragraph">
                          <wp:posOffset>76200</wp:posOffset>
                        </wp:positionV>
                        <wp:extent cx="2801620" cy="1690370"/>
                        <wp:effectExtent l="0" t="0" r="0" b="5080"/>
                        <wp:wrapSquare wrapText="bothSides"/>
                        <wp:docPr id="6" name="图片 6" descr="D:\公司文档\资料图片\标准课程\人力资源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公司文档\资料图片\标准课程\人力资源管理.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801620" cy="1690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6" w:hRule="atLeast"/>
              </w:trPr>
              <w:tc>
                <w:tcPr>
                  <w:tcW w:w="674" w:type="dxa"/>
                  <w:vMerge w:val="restart"/>
                  <w:tcBorders>
                    <w:top w:val="single" w:color="auto" w:sz="4" w:space="0"/>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Flash型</w:t>
                  </w:r>
                </w:p>
              </w:tc>
              <w:tc>
                <w:tcPr>
                  <w:tcW w:w="33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普通Flash课程</w:t>
                  </w:r>
                </w:p>
                <w:p>
                  <w:pPr>
                    <w:pStyle w:val="13"/>
                    <w:numPr>
                      <w:ilvl w:val="0"/>
                      <w:numId w:val="3"/>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客户提供教材，采用Flash方式设计脚本及美工动画制作；</w:t>
                  </w:r>
                </w:p>
                <w:p>
                  <w:pPr>
                    <w:pStyle w:val="13"/>
                    <w:numPr>
                      <w:ilvl w:val="0"/>
                      <w:numId w:val="3"/>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每个知识点会根据需要进行配图，并设计相应的版面；</w:t>
                  </w:r>
                </w:p>
                <w:p>
                  <w:pPr>
                    <w:pStyle w:val="13"/>
                    <w:numPr>
                      <w:ilvl w:val="0"/>
                      <w:numId w:val="3"/>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根据客户需要设计专门的UI界面及功能；</w:t>
                  </w:r>
                </w:p>
                <w:p>
                  <w:pPr>
                    <w:pStyle w:val="13"/>
                    <w:numPr>
                      <w:ilvl w:val="0"/>
                      <w:numId w:val="3"/>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课件具有目录、进度条、书签跟踪功能、符合Scrom标准；</w:t>
                  </w:r>
                </w:p>
                <w:p>
                  <w:pPr>
                    <w:pStyle w:val="13"/>
                    <w:numPr>
                      <w:ilvl w:val="0"/>
                      <w:numId w:val="3"/>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根据内容，讲解过程中会设计若干分支跳转导航及继续等互动按钮；</w:t>
                  </w:r>
                </w:p>
                <w:p>
                  <w:pPr>
                    <w:pStyle w:val="13"/>
                    <w:numPr>
                      <w:ilvl w:val="0"/>
                      <w:numId w:val="3"/>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具备课件测试，采用单选、多选、连线、判断等题型，最后有测试报告。</w:t>
                  </w:r>
                </w:p>
              </w:tc>
              <w:tc>
                <w:tcPr>
                  <w:tcW w:w="471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sz w:val="18"/>
                      <w:szCs w:val="18"/>
                    </w:rPr>
                  </w:pPr>
                  <w:r>
                    <w:rPr>
                      <w:rFonts w:ascii="Calibri" w:hAnsi="Calibri"/>
                      <w:sz w:val="18"/>
                      <w:szCs w:val="18"/>
                    </w:rPr>
                    <w:drawing>
                      <wp:inline distT="0" distB="0" distL="0" distR="0">
                        <wp:extent cx="2804795" cy="1664970"/>
                        <wp:effectExtent l="19050" t="19050" r="14605" b="11430"/>
                        <wp:docPr id="4" name="图片 4" descr="D:\公司文档\资料图片\定制化课程\人民银行\人民银行_金融风险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公司文档\资料图片\定制化课程\人民银行\人民银行_金融风险管理.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04795" cy="1664970"/>
                                </a:xfrm>
                                <a:prstGeom prst="rect">
                                  <a:avLst/>
                                </a:prstGeom>
                                <a:noFill/>
                                <a:ln w="9525" cmpd="sng">
                                  <a:solidFill>
                                    <a:srgbClr val="0070C0"/>
                                  </a:solid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674"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336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中档Flash课程</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从图库中挑选1-2个卡通人物（仅正面），并设计手、口、眼等部位的动作；</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每个知识点会根据需要进行配图，并设计相应的版面；</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每章穿插1个情景案例；</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客户提供教材，采用Flash方式设计脚本及美工动画制作；</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根据客户需要设计专门的UI界面及功能；</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课件具有目录、进度条、书签跟踪功能、符合Scrom标准；</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根据内容，讲解过程中会设计若干分支跳转导航及继续等互动按钮；</w:t>
                  </w:r>
                </w:p>
                <w:p>
                  <w:pPr>
                    <w:pStyle w:val="13"/>
                    <w:numPr>
                      <w:ilvl w:val="0"/>
                      <w:numId w:val="3"/>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具备课件测试，采用单选、多选、连线、判断等题型，最后有测试报告。</w:t>
                  </w:r>
                </w:p>
              </w:tc>
              <w:tc>
                <w:tcPr>
                  <w:tcW w:w="471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sz w:val="18"/>
                      <w:szCs w:val="18"/>
                    </w:rPr>
                  </w:pPr>
                  <w:r>
                    <w:rPr>
                      <w:sz w:val="18"/>
                      <w:szCs w:val="18"/>
                    </w:rPr>
                    <w:drawing>
                      <wp:anchor distT="0" distB="0" distL="114300" distR="114300" simplePos="0" relativeHeight="251660288" behindDoc="1" locked="0" layoutInCell="1" allowOverlap="1">
                        <wp:simplePos x="0" y="0"/>
                        <wp:positionH relativeFrom="column">
                          <wp:posOffset>-10795</wp:posOffset>
                        </wp:positionH>
                        <wp:positionV relativeFrom="paragraph">
                          <wp:posOffset>-1328420</wp:posOffset>
                        </wp:positionV>
                        <wp:extent cx="2844800" cy="1673225"/>
                        <wp:effectExtent l="0" t="0" r="0" b="3175"/>
                        <wp:wrapSquare wrapText="bothSides"/>
                        <wp:docPr id="5" name="图片 5" descr="D:\公司文档\资料图片\定制化课程\人民银行\人民银行_反假货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公司文档\资料图片\定制化课程\人民银行\人民银行_反假货币.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44800" cy="1673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4" w:type="dxa"/>
                  <w:vMerge w:val="continue"/>
                  <w:tcBorders>
                    <w:left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3362" w:type="dxa"/>
                  <w:vMerge w:val="restart"/>
                  <w:tcBorders>
                    <w:top w:val="single" w:color="auto" w:sz="4" w:space="0"/>
                    <w:left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精品Flash课程</w:t>
                  </w:r>
                </w:p>
                <w:p>
                  <w:pPr>
                    <w:pStyle w:val="13"/>
                    <w:numPr>
                      <w:ilvl w:val="0"/>
                      <w:numId w:val="5"/>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客户提供教材，采用Flash方式设计脚本及美工动画制作；</w:t>
                  </w:r>
                </w:p>
                <w:p>
                  <w:pPr>
                    <w:pStyle w:val="13"/>
                    <w:numPr>
                      <w:ilvl w:val="0"/>
                      <w:numId w:val="5"/>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根据客户需要设计专门的UI界面及功能；</w:t>
                  </w:r>
                </w:p>
                <w:p>
                  <w:pPr>
                    <w:pStyle w:val="13"/>
                    <w:numPr>
                      <w:ilvl w:val="0"/>
                      <w:numId w:val="5"/>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课件具有目录、进度条、书签跟踪功能、符合Scrom标准；</w:t>
                  </w:r>
                </w:p>
                <w:p>
                  <w:pPr>
                    <w:pStyle w:val="13"/>
                    <w:numPr>
                      <w:ilvl w:val="0"/>
                      <w:numId w:val="5"/>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内容讲解设计分以下几点：</w:t>
                  </w:r>
                </w:p>
                <w:p>
                  <w:pPr>
                    <w:pStyle w:val="13"/>
                    <w:numPr>
                      <w:ilvl w:val="1"/>
                      <w:numId w:val="5"/>
                    </w:numPr>
                    <w:snapToGrid w:val="0"/>
                    <w:spacing w:line="380" w:lineRule="exact"/>
                    <w:ind w:left="420" w:firstLineChars="0"/>
                    <w:rPr>
                      <w:rFonts w:ascii="宋体" w:hAnsi="宋体"/>
                      <w:color w:val="000000"/>
                      <w:sz w:val="18"/>
                      <w:szCs w:val="18"/>
                      <w:lang w:bidi="ar-SA"/>
                    </w:rPr>
                  </w:pPr>
                  <w:r>
                    <w:rPr>
                      <w:rFonts w:ascii="宋体" w:hAnsi="宋体"/>
                      <w:color w:val="000000"/>
                      <w:sz w:val="18"/>
                      <w:szCs w:val="18"/>
                      <w:lang w:bidi="ar-SA"/>
                    </w:rPr>
                    <w:t>每个根据客户案例资料构思简单的故事情节，并撰写脚本；</w:t>
                  </w:r>
                </w:p>
                <w:p>
                  <w:pPr>
                    <w:pStyle w:val="13"/>
                    <w:numPr>
                      <w:ilvl w:val="1"/>
                      <w:numId w:val="5"/>
                    </w:numPr>
                    <w:snapToGrid w:val="0"/>
                    <w:spacing w:line="380" w:lineRule="exact"/>
                    <w:ind w:left="420" w:firstLineChars="0"/>
                    <w:rPr>
                      <w:rFonts w:ascii="宋体" w:hAnsi="宋体"/>
                      <w:color w:val="000000"/>
                      <w:sz w:val="18"/>
                      <w:szCs w:val="18"/>
                      <w:lang w:bidi="ar-SA"/>
                    </w:rPr>
                  </w:pPr>
                  <w:r>
                    <w:rPr>
                      <w:rFonts w:ascii="宋体" w:hAnsi="宋体"/>
                      <w:color w:val="000000"/>
                      <w:sz w:val="18"/>
                      <w:szCs w:val="18"/>
                      <w:lang w:bidi="ar-SA"/>
                    </w:rPr>
                    <w:t>整个课程设计2-3个卡通人物，3个左右照片类场景或简单手绘场景；</w:t>
                  </w:r>
                </w:p>
                <w:p>
                  <w:pPr>
                    <w:pStyle w:val="13"/>
                    <w:numPr>
                      <w:ilvl w:val="1"/>
                      <w:numId w:val="5"/>
                    </w:numPr>
                    <w:snapToGrid w:val="0"/>
                    <w:spacing w:line="380" w:lineRule="exact"/>
                    <w:ind w:left="420" w:firstLineChars="0"/>
                    <w:rPr>
                      <w:rFonts w:ascii="宋体" w:hAnsi="宋体"/>
                      <w:color w:val="000000"/>
                      <w:sz w:val="18"/>
                      <w:szCs w:val="18"/>
                      <w:lang w:bidi="ar-SA"/>
                    </w:rPr>
                  </w:pPr>
                  <w:r>
                    <w:rPr>
                      <w:rFonts w:ascii="宋体" w:hAnsi="宋体"/>
                      <w:color w:val="000000"/>
                      <w:sz w:val="18"/>
                      <w:szCs w:val="18"/>
                      <w:lang w:bidi="ar-SA"/>
                    </w:rPr>
                    <w:t>知识点的内容贯穿在故事情节发展过程中；</w:t>
                  </w:r>
                </w:p>
                <w:p>
                  <w:pPr>
                    <w:pStyle w:val="13"/>
                    <w:numPr>
                      <w:ilvl w:val="1"/>
                      <w:numId w:val="5"/>
                    </w:numPr>
                    <w:snapToGrid w:val="0"/>
                    <w:spacing w:line="380" w:lineRule="exact"/>
                    <w:ind w:left="420" w:firstLineChars="0"/>
                    <w:rPr>
                      <w:rFonts w:ascii="宋体" w:hAnsi="宋体"/>
                      <w:color w:val="000000"/>
                      <w:sz w:val="18"/>
                      <w:szCs w:val="18"/>
                      <w:lang w:bidi="ar-SA"/>
                    </w:rPr>
                  </w:pPr>
                  <w:r>
                    <w:rPr>
                      <w:rFonts w:ascii="宋体" w:hAnsi="宋体"/>
                      <w:color w:val="000000"/>
                      <w:sz w:val="18"/>
                      <w:szCs w:val="18"/>
                      <w:lang w:bidi="ar-SA"/>
                    </w:rPr>
                    <w:t>知识点内容采用排版的形式来展示；</w:t>
                  </w:r>
                </w:p>
                <w:p>
                  <w:pPr>
                    <w:pStyle w:val="13"/>
                    <w:numPr>
                      <w:ilvl w:val="0"/>
                      <w:numId w:val="5"/>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根据内容，讲解过程中会设计若干分支跳转导航及继续等互动按钮；</w:t>
                  </w:r>
                </w:p>
                <w:p>
                  <w:pPr>
                    <w:pStyle w:val="13"/>
                    <w:numPr>
                      <w:ilvl w:val="0"/>
                      <w:numId w:val="4"/>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具备课件测试，采用单选、多选、连线、判断等题型，最后有测试报告。</w:t>
                  </w:r>
                </w:p>
              </w:tc>
              <w:tc>
                <w:tcPr>
                  <w:tcW w:w="4719" w:type="dxa"/>
                  <w:tcBorders>
                    <w:top w:val="single" w:color="auto" w:sz="4" w:space="0"/>
                    <w:left w:val="single" w:color="auto" w:sz="4" w:space="0"/>
                    <w:bottom w:val="single" w:color="auto" w:sz="4" w:space="0"/>
                    <w:right w:val="single" w:color="auto" w:sz="4" w:space="0"/>
                  </w:tcBorders>
                </w:tcPr>
                <w:p>
                  <w:pPr>
                    <w:jc w:val="center"/>
                    <w:rPr>
                      <w:rFonts w:ascii="Calibri" w:hAnsi="Calibri"/>
                      <w:sz w:val="18"/>
                      <w:szCs w:val="18"/>
                    </w:rPr>
                  </w:pPr>
                  <w:r>
                    <w:rPr>
                      <w:rFonts w:ascii="Calibri" w:hAnsi="Calibri"/>
                      <w:sz w:val="18"/>
                      <w:szCs w:val="18"/>
                    </w:rPr>
                    <w:drawing>
                      <wp:inline distT="0" distB="0" distL="0" distR="0">
                        <wp:extent cx="2825115" cy="1664970"/>
                        <wp:effectExtent l="19050" t="19050" r="13335" b="11430"/>
                        <wp:docPr id="3" name="图片 3" descr="D:\公司文档\资料图片\定制化课程\国美\情景对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公司文档\资料图片\定制化课程\国美\情景对话.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25115" cy="1664970"/>
                                </a:xfrm>
                                <a:prstGeom prst="rect">
                                  <a:avLst/>
                                </a:prstGeom>
                                <a:noFill/>
                                <a:ln w="9525" cmpd="sng">
                                  <a:solidFill>
                                    <a:srgbClr val="0070C0"/>
                                  </a:solidFill>
                                  <a:miter lim="800000"/>
                                  <a:headEnd/>
                                  <a:tailEnd/>
                                </a:ln>
                                <a:effectLst/>
                              </pic:spPr>
                            </pic:pic>
                          </a:graphicData>
                        </a:graphic>
                      </wp:inline>
                    </w:drawing>
                  </w:r>
                </w:p>
                <w:p>
                  <w:pPr>
                    <w:jc w:val="center"/>
                    <w:rPr>
                      <w:rFonts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4" w:type="dxa"/>
                  <w:vMerge w:val="continue"/>
                  <w:tcBorders>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p>
              </w:tc>
              <w:tc>
                <w:tcPr>
                  <w:tcW w:w="3362" w:type="dxa"/>
                  <w:vMerge w:val="continue"/>
                  <w:tcBorders>
                    <w:left w:val="single" w:color="auto" w:sz="4" w:space="0"/>
                    <w:bottom w:val="single" w:color="auto" w:sz="4" w:space="0"/>
                    <w:right w:val="single" w:color="auto" w:sz="4" w:space="0"/>
                  </w:tcBorders>
                  <w:vAlign w:val="center"/>
                </w:tcPr>
                <w:p>
                  <w:pPr>
                    <w:pStyle w:val="13"/>
                    <w:snapToGrid w:val="0"/>
                    <w:spacing w:line="380" w:lineRule="exact"/>
                    <w:ind w:left="420" w:firstLine="0" w:firstLineChars="0"/>
                    <w:rPr>
                      <w:rFonts w:ascii="宋体" w:hAnsi="宋体"/>
                      <w:color w:val="000000"/>
                      <w:sz w:val="18"/>
                      <w:szCs w:val="18"/>
                      <w:lang w:bidi="ar-SA"/>
                    </w:rPr>
                  </w:pPr>
                </w:p>
              </w:tc>
              <w:tc>
                <w:tcPr>
                  <w:tcW w:w="4719" w:type="dxa"/>
                  <w:tcBorders>
                    <w:top w:val="single" w:color="auto" w:sz="4" w:space="0"/>
                    <w:left w:val="single" w:color="auto" w:sz="4" w:space="0"/>
                    <w:bottom w:val="single" w:color="auto" w:sz="4" w:space="0"/>
                    <w:right w:val="single" w:color="auto" w:sz="4" w:space="0"/>
                  </w:tcBorders>
                </w:tcPr>
                <w:p>
                  <w:pPr>
                    <w:jc w:val="center"/>
                    <w:rPr>
                      <w:rFonts w:ascii="Calibri" w:hAnsi="Calibri"/>
                      <w:sz w:val="18"/>
                      <w:szCs w:val="18"/>
                    </w:rPr>
                  </w:pPr>
                  <w:r>
                    <w:rPr>
                      <w:rFonts w:ascii="Calibri" w:hAnsi="Calibri"/>
                      <w:sz w:val="18"/>
                      <w:szCs w:val="18"/>
                    </w:rPr>
                    <w:drawing>
                      <wp:inline distT="0" distB="0" distL="0" distR="0">
                        <wp:extent cx="2825115" cy="1664970"/>
                        <wp:effectExtent l="19050" t="19050" r="13335" b="11430"/>
                        <wp:docPr id="2" name="图片 2" descr="D:\公司文档\资料图片\定制化课程\国美\重点讲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公司文档\资料图片\定制化课程\国美\重点讲解.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5115" cy="1664970"/>
                                </a:xfrm>
                                <a:prstGeom prst="rect">
                                  <a:avLst/>
                                </a:prstGeom>
                                <a:noFill/>
                                <a:ln w="9525" cmpd="sng">
                                  <a:solidFill>
                                    <a:srgbClr val="0070C0"/>
                                  </a:solid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4"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 w:val="18"/>
                      <w:szCs w:val="18"/>
                    </w:rPr>
                  </w:pPr>
                  <w:r>
                    <w:rPr>
                      <w:rFonts w:ascii="宋体" w:hAnsi="宋体"/>
                      <w:color w:val="000000"/>
                      <w:sz w:val="18"/>
                      <w:szCs w:val="18"/>
                    </w:rPr>
                    <w:t>软件模拟型</w:t>
                  </w:r>
                </w:p>
              </w:tc>
              <w:tc>
                <w:tcPr>
                  <w:tcW w:w="3362" w:type="dxa"/>
                  <w:tcBorders>
                    <w:top w:val="single" w:color="auto" w:sz="4" w:space="0"/>
                    <w:left w:val="single" w:color="auto" w:sz="4" w:space="0"/>
                    <w:bottom w:val="single" w:color="auto" w:sz="4" w:space="0"/>
                    <w:right w:val="single" w:color="auto" w:sz="4" w:space="0"/>
                  </w:tcBorders>
                  <w:vAlign w:val="center"/>
                </w:tcPr>
                <w:p>
                  <w:pPr>
                    <w:pStyle w:val="13"/>
                    <w:numPr>
                      <w:ilvl w:val="0"/>
                      <w:numId w:val="6"/>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除自动演示软件的操作过程外，提供交换操作；</w:t>
                  </w:r>
                </w:p>
                <w:p>
                  <w:pPr>
                    <w:pStyle w:val="13"/>
                    <w:numPr>
                      <w:ilvl w:val="0"/>
                      <w:numId w:val="6"/>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特征：操作动画演示+配音+文字说明+交互仿真操作；</w:t>
                  </w:r>
                </w:p>
                <w:p>
                  <w:pPr>
                    <w:pStyle w:val="13"/>
                    <w:numPr>
                      <w:ilvl w:val="0"/>
                      <w:numId w:val="6"/>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课件具有目录、进度条、书签跟踪功能、符合Scrom标准；</w:t>
                  </w:r>
                </w:p>
                <w:p>
                  <w:pPr>
                    <w:pStyle w:val="13"/>
                    <w:numPr>
                      <w:ilvl w:val="0"/>
                      <w:numId w:val="6"/>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具备课件测试，采用单选、多选、连线、判断等题型，最后有测试报告。</w:t>
                  </w:r>
                </w:p>
              </w:tc>
              <w:tc>
                <w:tcPr>
                  <w:tcW w:w="4719" w:type="dxa"/>
                  <w:tcBorders>
                    <w:top w:val="single" w:color="auto" w:sz="4" w:space="0"/>
                    <w:left w:val="single" w:color="auto" w:sz="4" w:space="0"/>
                    <w:bottom w:val="single" w:color="auto" w:sz="4" w:space="0"/>
                    <w:right w:val="single" w:color="auto" w:sz="4" w:space="0"/>
                  </w:tcBorders>
                </w:tcPr>
                <w:p>
                  <w:pPr>
                    <w:spacing w:before="60" w:after="60"/>
                    <w:jc w:val="center"/>
                    <w:rPr>
                      <w:rFonts w:ascii="Calibri" w:hAnsi="Calibri"/>
                      <w:sz w:val="18"/>
                      <w:szCs w:val="18"/>
                    </w:rPr>
                  </w:pPr>
                  <w:r>
                    <w:rPr>
                      <w:rFonts w:ascii="Calibri" w:hAnsi="Calibri"/>
                      <w:sz w:val="18"/>
                      <w:szCs w:val="18"/>
                    </w:rPr>
                    <w:drawing>
                      <wp:inline distT="0" distB="0" distL="0" distR="0">
                        <wp:extent cx="2859405" cy="2047240"/>
                        <wp:effectExtent l="0" t="0" r="0" b="0"/>
                        <wp:docPr id="1" name="图片 1" descr="D:\公司文档\资料图片\标准课程\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公司文档\资料图片\标准课程\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9405" cy="2047240"/>
                                </a:xfrm>
                                <a:prstGeom prst="rect">
                                  <a:avLst/>
                                </a:prstGeom>
                                <a:noFill/>
                                <a:ln>
                                  <a:noFill/>
                                </a:ln>
                              </pic:spPr>
                            </pic:pic>
                          </a:graphicData>
                        </a:graphic>
                      </wp:inline>
                    </w:drawing>
                  </w:r>
                </w:p>
              </w:tc>
            </w:tr>
          </w:tbl>
          <w:p>
            <w:pPr>
              <w:jc w:val="center"/>
              <w:rPr>
                <w:rFonts w:ascii="宋体" w:hAnsi="宋体"/>
                <w:color w:val="000000"/>
                <w:sz w:val="18"/>
                <w:szCs w:val="18"/>
              </w:rPr>
            </w:pPr>
          </w:p>
          <w:p>
            <w:pPr>
              <w:jc w:val="center"/>
              <w:rPr>
                <w:rFonts w:ascii="宋体" w:hAnsi="宋体"/>
                <w:color w:val="000000"/>
                <w:sz w:val="18"/>
                <w:szCs w:val="18"/>
              </w:rPr>
            </w:pPr>
          </w:p>
          <w:p>
            <w:pPr>
              <w:jc w:val="center"/>
              <w:rPr>
                <w:rFonts w:ascii="宋体" w:hAnsi="宋体"/>
                <w:color w:val="000000"/>
                <w:sz w:val="18"/>
                <w:szCs w:val="18"/>
              </w:rPr>
            </w:pPr>
            <w:r>
              <w:rPr>
                <w:rFonts w:hint="eastAsia" w:ascii="宋体" w:hAnsi="宋体"/>
                <w:color w:val="000000"/>
                <w:sz w:val="18"/>
                <w:szCs w:val="18"/>
              </w:rPr>
              <w:t>表3、微课（支持PC、移动终端应用）</w:t>
            </w:r>
          </w:p>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2966"/>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blHeader/>
              </w:trPr>
              <w:tc>
                <w:tcPr>
                  <w:tcW w:w="923"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类型</w:t>
                  </w:r>
                </w:p>
              </w:tc>
              <w:tc>
                <w:tcPr>
                  <w:tcW w:w="2966"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表现形式</w:t>
                  </w:r>
                </w:p>
              </w:tc>
              <w:tc>
                <w:tcPr>
                  <w:tcW w:w="4866"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5" w:hRule="atLeast"/>
              </w:trPr>
              <w:tc>
                <w:tcPr>
                  <w:tcW w:w="923"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视频类_现场讲授型</w:t>
                  </w:r>
                </w:p>
              </w:tc>
              <w:tc>
                <w:tcPr>
                  <w:tcW w:w="2966" w:type="dxa"/>
                  <w:tcBorders>
                    <w:top w:val="single" w:color="auto" w:sz="4" w:space="0"/>
                    <w:left w:val="single" w:color="auto" w:sz="4" w:space="0"/>
                    <w:bottom w:val="single" w:color="auto" w:sz="4" w:space="0"/>
                    <w:right w:val="single" w:color="auto" w:sz="4" w:space="0"/>
                  </w:tcBorders>
                  <w:vAlign w:val="center"/>
                </w:tcPr>
                <w:p>
                  <w:pPr>
                    <w:pStyle w:val="13"/>
                    <w:numPr>
                      <w:ilvl w:val="0"/>
                      <w:numId w:val="7"/>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MP4格式；高清视频；</w:t>
                  </w:r>
                </w:p>
                <w:p>
                  <w:pPr>
                    <w:pStyle w:val="13"/>
                    <w:numPr>
                      <w:ilvl w:val="0"/>
                      <w:numId w:val="7"/>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根据客户需要设计专门的UI界面、视频背景、视频配图等；</w:t>
                  </w:r>
                </w:p>
                <w:p>
                  <w:pPr>
                    <w:pStyle w:val="13"/>
                    <w:numPr>
                      <w:ilvl w:val="0"/>
                      <w:numId w:val="7"/>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根据课程内容进行知识划分、脚本设计；每课5-10分钟左右</w:t>
                  </w:r>
                </w:p>
                <w:p>
                  <w:pPr>
                    <w:pStyle w:val="13"/>
                    <w:numPr>
                      <w:ilvl w:val="0"/>
                      <w:numId w:val="7"/>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重点内容使用动画演示；（每课至少一个）</w:t>
                  </w:r>
                </w:p>
                <w:p>
                  <w:pPr>
                    <w:pStyle w:val="13"/>
                    <w:numPr>
                      <w:ilvl w:val="0"/>
                      <w:numId w:val="7"/>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同步配字幕</w:t>
                  </w:r>
                </w:p>
              </w:tc>
              <w:tc>
                <w:tcPr>
                  <w:tcW w:w="4866" w:type="dxa"/>
                  <w:tcBorders>
                    <w:top w:val="single" w:color="auto" w:sz="4" w:space="0"/>
                    <w:left w:val="single" w:color="auto" w:sz="4" w:space="0"/>
                    <w:bottom w:val="single" w:color="auto" w:sz="4" w:space="0"/>
                    <w:right w:val="single" w:color="auto" w:sz="4" w:space="0"/>
                  </w:tcBorders>
                </w:tcPr>
                <w:p>
                  <w:pPr>
                    <w:spacing w:before="60" w:after="60"/>
                    <w:jc w:val="center"/>
                    <w:rPr>
                      <w:rFonts w:ascii="Calibri" w:hAnsi="Calibri"/>
                      <w:sz w:val="18"/>
                      <w:szCs w:val="18"/>
                    </w:rPr>
                  </w:pPr>
                  <w:r>
                    <w:rPr>
                      <w:rFonts w:ascii="Calibri" w:hAnsi="Calibri"/>
                      <w:sz w:val="18"/>
                      <w:szCs w:val="18"/>
                    </w:rPr>
                    <w:drawing>
                      <wp:inline distT="0" distB="0" distL="0" distR="0">
                        <wp:extent cx="2124075" cy="11906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24075" cy="1190625"/>
                                </a:xfrm>
                                <a:prstGeom prst="rect">
                                  <a:avLst/>
                                </a:prstGeom>
                                <a:noFill/>
                                <a:ln>
                                  <a:noFill/>
                                </a:ln>
                              </pic:spPr>
                            </pic:pic>
                          </a:graphicData>
                        </a:graphic>
                      </wp:inline>
                    </w:drawing>
                  </w:r>
                </w:p>
                <w:p>
                  <w:pPr>
                    <w:spacing w:before="60" w:after="60"/>
                    <w:jc w:val="center"/>
                    <w:rPr>
                      <w:rFonts w:ascii="Calibri" w:hAnsi="Calibri"/>
                      <w:sz w:val="18"/>
                      <w:szCs w:val="18"/>
                    </w:rPr>
                  </w:pPr>
                  <w:r>
                    <w:rPr>
                      <w:rFonts w:ascii="Calibri" w:hAnsi="Calibri"/>
                      <w:sz w:val="18"/>
                      <w:szCs w:val="18"/>
                    </w:rPr>
                    <w:t>有老师的画面（配字幕、图示等）</w:t>
                  </w:r>
                </w:p>
                <w:p>
                  <w:pPr>
                    <w:spacing w:before="60" w:after="60"/>
                    <w:jc w:val="center"/>
                    <w:rPr>
                      <w:rFonts w:ascii="Calibri" w:hAnsi="Calibri"/>
                      <w:sz w:val="18"/>
                      <w:szCs w:val="18"/>
                    </w:rPr>
                  </w:pPr>
                  <w:r>
                    <w:rPr>
                      <w:rFonts w:ascii="Calibri" w:hAnsi="Calibri"/>
                      <w:sz w:val="18"/>
                      <w:szCs w:val="18"/>
                    </w:rPr>
                    <w:drawing>
                      <wp:inline distT="0" distB="0" distL="0" distR="0">
                        <wp:extent cx="2114550" cy="11906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14550" cy="1190625"/>
                                </a:xfrm>
                                <a:prstGeom prst="rect">
                                  <a:avLst/>
                                </a:prstGeom>
                                <a:noFill/>
                                <a:ln>
                                  <a:noFill/>
                                </a:ln>
                              </pic:spPr>
                            </pic:pic>
                          </a:graphicData>
                        </a:graphic>
                      </wp:inline>
                    </w:drawing>
                  </w:r>
                </w:p>
                <w:p>
                  <w:pPr>
                    <w:spacing w:before="60" w:after="60"/>
                    <w:jc w:val="center"/>
                    <w:rPr>
                      <w:rFonts w:ascii="Calibri" w:hAnsi="Calibri"/>
                      <w:sz w:val="18"/>
                      <w:szCs w:val="18"/>
                    </w:rPr>
                  </w:pPr>
                  <w:r>
                    <w:rPr>
                      <w:rFonts w:ascii="Calibri" w:hAnsi="Calibri"/>
                      <w:sz w:val="18"/>
                      <w:szCs w:val="18"/>
                    </w:rPr>
                    <w:t>需要演示的部分以动画出现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6" w:hRule="atLeast"/>
              </w:trPr>
              <w:tc>
                <w:tcPr>
                  <w:tcW w:w="923"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视频类_配音型</w:t>
                  </w:r>
                </w:p>
              </w:tc>
              <w:tc>
                <w:tcPr>
                  <w:tcW w:w="2966" w:type="dxa"/>
                  <w:tcBorders>
                    <w:top w:val="single" w:color="auto" w:sz="4" w:space="0"/>
                    <w:left w:val="single" w:color="auto" w:sz="4" w:space="0"/>
                    <w:bottom w:val="single" w:color="auto" w:sz="4" w:space="0"/>
                    <w:right w:val="single" w:color="auto" w:sz="4" w:space="0"/>
                  </w:tcBorders>
                  <w:vAlign w:val="center"/>
                </w:tcPr>
                <w:p>
                  <w:pPr>
                    <w:pStyle w:val="13"/>
                    <w:numPr>
                      <w:ilvl w:val="0"/>
                      <w:numId w:val="8"/>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MP4格式；高清视频；</w:t>
                  </w:r>
                </w:p>
                <w:p>
                  <w:pPr>
                    <w:pStyle w:val="13"/>
                    <w:numPr>
                      <w:ilvl w:val="0"/>
                      <w:numId w:val="8"/>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根据客户需要设计专门的UI界面、视频背景、视频配图等；</w:t>
                  </w:r>
                </w:p>
                <w:p>
                  <w:pPr>
                    <w:pStyle w:val="13"/>
                    <w:numPr>
                      <w:ilvl w:val="0"/>
                      <w:numId w:val="8"/>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根据课程内容进行知识划分、脚本设计；每课5分钟；</w:t>
                  </w:r>
                </w:p>
                <w:p>
                  <w:pPr>
                    <w:pStyle w:val="13"/>
                    <w:numPr>
                      <w:ilvl w:val="0"/>
                      <w:numId w:val="8"/>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配合讲解内容出现动画、图示、演示视频等；</w:t>
                  </w:r>
                </w:p>
                <w:p>
                  <w:pPr>
                    <w:pStyle w:val="13"/>
                    <w:numPr>
                      <w:ilvl w:val="0"/>
                      <w:numId w:val="8"/>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请专业人士配音；</w:t>
                  </w:r>
                </w:p>
                <w:p>
                  <w:pPr>
                    <w:pStyle w:val="13"/>
                    <w:numPr>
                      <w:ilvl w:val="0"/>
                      <w:numId w:val="8"/>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同步配字幕</w:t>
                  </w:r>
                </w:p>
              </w:tc>
              <w:tc>
                <w:tcPr>
                  <w:tcW w:w="4866" w:type="dxa"/>
                  <w:tcBorders>
                    <w:top w:val="single" w:color="auto" w:sz="4" w:space="0"/>
                    <w:left w:val="single" w:color="auto" w:sz="4" w:space="0"/>
                    <w:bottom w:val="single" w:color="auto" w:sz="4" w:space="0"/>
                    <w:right w:val="single" w:color="auto" w:sz="4" w:space="0"/>
                  </w:tcBorders>
                </w:tcPr>
                <w:p>
                  <w:pPr>
                    <w:jc w:val="center"/>
                    <w:rPr>
                      <w:rFonts w:ascii="Calibri" w:hAnsi="Calibri"/>
                      <w:sz w:val="18"/>
                      <w:szCs w:val="18"/>
                    </w:rPr>
                  </w:pPr>
                  <w:r>
                    <w:rPr>
                      <w:rFonts w:ascii="Calibri" w:hAnsi="Calibri"/>
                      <w:sz w:val="18"/>
                      <w:szCs w:val="18"/>
                    </w:rPr>
                    <w:drawing>
                      <wp:inline distT="0" distB="0" distL="0" distR="0">
                        <wp:extent cx="2790825" cy="15621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90825" cy="1562100"/>
                                </a:xfrm>
                                <a:prstGeom prst="rect">
                                  <a:avLst/>
                                </a:prstGeom>
                                <a:noFill/>
                                <a:ln>
                                  <a:noFill/>
                                </a:ln>
                              </pic:spPr>
                            </pic:pic>
                          </a:graphicData>
                        </a:graphic>
                      </wp:inline>
                    </w:drawing>
                  </w:r>
                </w:p>
                <w:p>
                  <w:pPr>
                    <w:jc w:val="center"/>
                    <w:rPr>
                      <w:rFonts w:ascii="Calibri" w:hAnsi="Calibri"/>
                      <w:sz w:val="18"/>
                      <w:szCs w:val="18"/>
                    </w:rPr>
                  </w:pPr>
                </w:p>
                <w:p>
                  <w:pPr>
                    <w:jc w:val="center"/>
                    <w:rPr>
                      <w:rFonts w:ascii="Calibri" w:hAnsi="Calibri"/>
                      <w:sz w:val="18"/>
                      <w:szCs w:val="18"/>
                    </w:rPr>
                  </w:pPr>
                  <w:r>
                    <w:rPr>
                      <w:rFonts w:ascii="Calibri" w:hAnsi="Calibri"/>
                      <w:sz w:val="18"/>
                      <w:szCs w:val="18"/>
                    </w:rPr>
                    <w:drawing>
                      <wp:inline distT="0" distB="0" distL="0" distR="0">
                        <wp:extent cx="2733675" cy="15525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33675" cy="1552575"/>
                                </a:xfrm>
                                <a:prstGeom prst="rect">
                                  <a:avLst/>
                                </a:prstGeom>
                                <a:noFill/>
                                <a:ln>
                                  <a:noFill/>
                                </a:ln>
                              </pic:spPr>
                            </pic:pic>
                          </a:graphicData>
                        </a:graphic>
                      </wp:inline>
                    </w:drawing>
                  </w:r>
                </w:p>
                <w:p>
                  <w:pPr>
                    <w:jc w:val="center"/>
                    <w:rPr>
                      <w:rFonts w:ascii="Calibri" w:hAnsi="Calibri"/>
                      <w:sz w:val="18"/>
                      <w:szCs w:val="18"/>
                    </w:rPr>
                  </w:pPr>
                </w:p>
                <w:p>
                  <w:pPr>
                    <w:jc w:val="center"/>
                    <w:rPr>
                      <w:rFonts w:ascii="Calibri" w:hAnsi="Calibri"/>
                      <w:sz w:val="18"/>
                      <w:szCs w:val="18"/>
                    </w:rPr>
                  </w:pPr>
                  <w:r>
                    <w:rPr>
                      <w:rFonts w:ascii="Calibri" w:hAnsi="Calibri"/>
                      <w:sz w:val="18"/>
                      <w:szCs w:val="18"/>
                    </w:rPr>
                    <w:drawing>
                      <wp:inline distT="0" distB="0" distL="0" distR="0">
                        <wp:extent cx="2733675" cy="15430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33675" cy="1543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Flash_图示型</w:t>
                  </w:r>
                </w:p>
              </w:tc>
              <w:tc>
                <w:tcPr>
                  <w:tcW w:w="2966" w:type="dxa"/>
                  <w:tcBorders>
                    <w:top w:val="single" w:color="auto" w:sz="4" w:space="0"/>
                    <w:left w:val="single" w:color="auto" w:sz="4" w:space="0"/>
                    <w:bottom w:val="single" w:color="auto" w:sz="4" w:space="0"/>
                    <w:right w:val="single" w:color="auto" w:sz="4" w:space="0"/>
                  </w:tcBorders>
                  <w:vAlign w:val="center"/>
                </w:tcPr>
                <w:p>
                  <w:pPr>
                    <w:pStyle w:val="13"/>
                    <w:numPr>
                      <w:ilvl w:val="0"/>
                      <w:numId w:val="9"/>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MP4格式；高清视频；</w:t>
                  </w:r>
                </w:p>
                <w:p>
                  <w:pPr>
                    <w:pStyle w:val="13"/>
                    <w:numPr>
                      <w:ilvl w:val="0"/>
                      <w:numId w:val="9"/>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根据客户需要设计专门的UI界面、素材、配图等；</w:t>
                  </w:r>
                </w:p>
                <w:p>
                  <w:pPr>
                    <w:pStyle w:val="13"/>
                    <w:numPr>
                      <w:ilvl w:val="0"/>
                      <w:numId w:val="9"/>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根据课程内容进行知识划分、脚本设计；每课5分钟；</w:t>
                  </w:r>
                </w:p>
                <w:p>
                  <w:pPr>
                    <w:pStyle w:val="13"/>
                    <w:numPr>
                      <w:ilvl w:val="0"/>
                      <w:numId w:val="9"/>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配合讲解内容演绎连续动画；</w:t>
                  </w:r>
                </w:p>
                <w:p>
                  <w:pPr>
                    <w:pStyle w:val="13"/>
                    <w:numPr>
                      <w:ilvl w:val="0"/>
                      <w:numId w:val="9"/>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请专业人士配音；</w:t>
                  </w:r>
                </w:p>
                <w:p>
                  <w:pPr>
                    <w:pStyle w:val="13"/>
                    <w:numPr>
                      <w:ilvl w:val="0"/>
                      <w:numId w:val="9"/>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同步配字幕；</w:t>
                  </w:r>
                </w:p>
              </w:tc>
              <w:tc>
                <w:tcPr>
                  <w:tcW w:w="4866" w:type="dxa"/>
                  <w:tcBorders>
                    <w:top w:val="single" w:color="auto" w:sz="4" w:space="0"/>
                    <w:left w:val="single" w:color="auto" w:sz="4" w:space="0"/>
                    <w:bottom w:val="single" w:color="auto" w:sz="4" w:space="0"/>
                    <w:right w:val="single" w:color="auto" w:sz="4" w:space="0"/>
                  </w:tcBorders>
                </w:tcPr>
                <w:p>
                  <w:pPr>
                    <w:spacing w:before="60" w:after="60"/>
                    <w:jc w:val="center"/>
                    <w:rPr>
                      <w:rFonts w:ascii="Calibri" w:hAnsi="Calibri"/>
                      <w:sz w:val="18"/>
                      <w:szCs w:val="18"/>
                    </w:rPr>
                  </w:pPr>
                  <w:r>
                    <w:rPr>
                      <w:rFonts w:ascii="Calibri" w:hAnsi="Calibri"/>
                      <w:sz w:val="18"/>
                      <w:szCs w:val="18"/>
                    </w:rPr>
                    <w:drawing>
                      <wp:inline distT="0" distB="0" distL="0" distR="0">
                        <wp:extent cx="2943225" cy="16478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43225" cy="1647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 w:val="18"/>
                      <w:szCs w:val="18"/>
                    </w:rPr>
                  </w:pPr>
                  <w:r>
                    <w:rPr>
                      <w:rFonts w:ascii="宋体" w:hAnsi="宋体"/>
                      <w:color w:val="000000"/>
                      <w:sz w:val="18"/>
                      <w:szCs w:val="18"/>
                    </w:rPr>
                    <w:t>精品微课</w:t>
                  </w:r>
                  <w:r>
                    <w:rPr>
                      <w:rFonts w:hint="eastAsia" w:ascii="宋体" w:hAnsi="宋体"/>
                      <w:color w:val="000000"/>
                      <w:sz w:val="18"/>
                      <w:szCs w:val="18"/>
                    </w:rPr>
                    <w:t>型</w:t>
                  </w:r>
                </w:p>
              </w:tc>
              <w:tc>
                <w:tcPr>
                  <w:tcW w:w="2966" w:type="dxa"/>
                  <w:tcBorders>
                    <w:top w:val="single" w:color="auto" w:sz="4" w:space="0"/>
                    <w:left w:val="single" w:color="auto" w:sz="4" w:space="0"/>
                    <w:bottom w:val="single" w:color="auto" w:sz="4" w:space="0"/>
                    <w:right w:val="single" w:color="auto" w:sz="4" w:space="0"/>
                  </w:tcBorders>
                  <w:vAlign w:val="center"/>
                </w:tcPr>
                <w:p>
                  <w:pPr>
                    <w:pStyle w:val="13"/>
                    <w:numPr>
                      <w:ilvl w:val="0"/>
                      <w:numId w:val="10"/>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全程参与教学设计（教学体系、教学目标、学习活动、课程考核）</w:t>
                  </w:r>
                </w:p>
                <w:p>
                  <w:pPr>
                    <w:pStyle w:val="13"/>
                    <w:numPr>
                      <w:ilvl w:val="0"/>
                      <w:numId w:val="10"/>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教师授课形象设计与包装</w:t>
                  </w:r>
                </w:p>
                <w:p>
                  <w:pPr>
                    <w:pStyle w:val="13"/>
                    <w:numPr>
                      <w:ilvl w:val="0"/>
                      <w:numId w:val="10"/>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文字脚本：撰写及表达，教师录制语言与动作培训</w:t>
                  </w:r>
                </w:p>
                <w:p>
                  <w:pPr>
                    <w:pStyle w:val="13"/>
                    <w:numPr>
                      <w:ilvl w:val="0"/>
                      <w:numId w:val="10"/>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课程录制：教师授课与互动</w:t>
                  </w:r>
                </w:p>
                <w:p>
                  <w:pPr>
                    <w:pStyle w:val="13"/>
                    <w:numPr>
                      <w:ilvl w:val="0"/>
                      <w:numId w:val="10"/>
                    </w:numPr>
                    <w:snapToGrid w:val="0"/>
                    <w:spacing w:line="380" w:lineRule="exact"/>
                    <w:ind w:firstLineChars="0"/>
                    <w:rPr>
                      <w:rFonts w:ascii="宋体" w:hAnsi="宋体"/>
                      <w:color w:val="000000"/>
                      <w:sz w:val="18"/>
                      <w:szCs w:val="18"/>
                      <w:lang w:bidi="ar-SA"/>
                    </w:rPr>
                  </w:pPr>
                  <w:r>
                    <w:rPr>
                      <w:rFonts w:ascii="宋体" w:hAnsi="宋体"/>
                      <w:color w:val="000000"/>
                      <w:sz w:val="18"/>
                      <w:szCs w:val="18"/>
                      <w:lang w:bidi="ar-SA"/>
                    </w:rPr>
                    <w:t>课程表现：导入案例、设计场景、制作动画等</w:t>
                  </w:r>
                </w:p>
                <w:p>
                  <w:pPr>
                    <w:snapToGrid w:val="0"/>
                    <w:spacing w:line="380" w:lineRule="exact"/>
                    <w:rPr>
                      <w:rFonts w:ascii="宋体" w:hAnsi="宋体"/>
                      <w:color w:val="000000"/>
                      <w:sz w:val="18"/>
                      <w:szCs w:val="18"/>
                    </w:rPr>
                  </w:pPr>
                </w:p>
              </w:tc>
              <w:tc>
                <w:tcPr>
                  <w:tcW w:w="4866" w:type="dxa"/>
                  <w:tcBorders>
                    <w:top w:val="single" w:color="auto" w:sz="4" w:space="0"/>
                    <w:left w:val="single" w:color="auto" w:sz="4" w:space="0"/>
                    <w:bottom w:val="single" w:color="auto" w:sz="4" w:space="0"/>
                    <w:right w:val="single" w:color="auto" w:sz="4" w:space="0"/>
                  </w:tcBorders>
                </w:tcPr>
                <w:p>
                  <w:pPr>
                    <w:spacing w:before="60" w:after="60"/>
                    <w:jc w:val="center"/>
                    <w:rPr>
                      <w:rFonts w:ascii="Calibri" w:hAnsi="Calibri"/>
                      <w:sz w:val="18"/>
                      <w:szCs w:val="18"/>
                    </w:rPr>
                  </w:pPr>
                  <w:r>
                    <w:rPr>
                      <w:sz w:val="18"/>
                      <w:szCs w:val="18"/>
                    </w:rPr>
                    <w:drawing>
                      <wp:inline distT="0" distB="0" distL="0" distR="0">
                        <wp:extent cx="2647950" cy="1485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47950" cy="1485900"/>
                                </a:xfrm>
                                <a:prstGeom prst="rect">
                                  <a:avLst/>
                                </a:prstGeom>
                                <a:noFill/>
                                <a:ln>
                                  <a:noFill/>
                                </a:ln>
                              </pic:spPr>
                            </pic:pic>
                          </a:graphicData>
                        </a:graphic>
                      </wp:inline>
                    </w:drawing>
                  </w:r>
                </w:p>
                <w:p>
                  <w:pPr>
                    <w:spacing w:before="60" w:after="60"/>
                    <w:jc w:val="center"/>
                    <w:rPr>
                      <w:rFonts w:ascii="Calibri" w:hAnsi="Calibri"/>
                      <w:sz w:val="18"/>
                      <w:szCs w:val="18"/>
                    </w:rPr>
                  </w:pPr>
                  <w:r>
                    <w:rPr>
                      <w:sz w:val="18"/>
                      <w:szCs w:val="18"/>
                    </w:rPr>
                    <w:drawing>
                      <wp:inline distT="0" distB="0" distL="0" distR="0">
                        <wp:extent cx="2647950" cy="152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47950" cy="1524000"/>
                                </a:xfrm>
                                <a:prstGeom prst="rect">
                                  <a:avLst/>
                                </a:prstGeom>
                                <a:noFill/>
                                <a:ln>
                                  <a:noFill/>
                                </a:ln>
                              </pic:spPr>
                            </pic:pic>
                          </a:graphicData>
                        </a:graphic>
                      </wp:inline>
                    </w:drawing>
                  </w:r>
                </w:p>
              </w:tc>
            </w:tr>
          </w:tbl>
          <w:p>
            <w:pPr>
              <w:rPr>
                <w:sz w:val="18"/>
                <w:szCs w:val="18"/>
              </w:rPr>
            </w:pPr>
          </w:p>
          <w:p>
            <w:pPr>
              <w:rPr>
                <w:b/>
                <w:sz w:val="18"/>
                <w:szCs w:val="18"/>
              </w:rPr>
            </w:pPr>
            <w:r>
              <w:rPr>
                <w:rFonts w:hint="eastAsia"/>
                <w:b/>
                <w:sz w:val="18"/>
                <w:szCs w:val="18"/>
              </w:rPr>
              <w:t>三、本地部署要求</w:t>
            </w:r>
          </w:p>
          <w:p>
            <w:pPr>
              <w:ind w:firstLine="360" w:firstLineChars="200"/>
              <w:rPr>
                <w:sz w:val="18"/>
                <w:szCs w:val="18"/>
              </w:rPr>
            </w:pPr>
            <w:r>
              <w:rPr>
                <w:rFonts w:hint="eastAsia"/>
                <w:sz w:val="18"/>
                <w:szCs w:val="18"/>
              </w:rPr>
              <w:t>1. 本项目所采购的在线教学平台必须能够本地部署于梧州学院，本地部署所需要的硬件设备及正版软件由采购方另行采购。</w:t>
            </w:r>
          </w:p>
          <w:p>
            <w:pPr>
              <w:ind w:firstLine="360" w:firstLineChars="200"/>
              <w:rPr>
                <w:sz w:val="18"/>
                <w:szCs w:val="18"/>
              </w:rPr>
            </w:pPr>
            <w:r>
              <w:rPr>
                <w:rFonts w:hint="eastAsia"/>
                <w:sz w:val="18"/>
                <w:szCs w:val="18"/>
              </w:rPr>
              <w:t>2. 本项目所采购的在线教学平台本地部署于梧州学院所需要的相关技术服务，包括软件安装，系统调试和测试等由投标人承担，必须保证在线教学平台本地部署后能正常运行和提供服务。</w:t>
            </w:r>
          </w:p>
          <w:p>
            <w:pPr>
              <w:rPr>
                <w:sz w:val="18"/>
                <w:szCs w:val="18"/>
              </w:rPr>
            </w:pPr>
          </w:p>
          <w:p>
            <w:pPr>
              <w:rPr>
                <w:b/>
                <w:sz w:val="18"/>
                <w:szCs w:val="18"/>
              </w:rPr>
            </w:pPr>
            <w:r>
              <w:rPr>
                <w:rFonts w:hint="eastAsia"/>
                <w:b/>
                <w:sz w:val="18"/>
                <w:szCs w:val="18"/>
              </w:rPr>
              <w:t>四、二次开发支持</w:t>
            </w:r>
          </w:p>
          <w:p>
            <w:pPr>
              <w:ind w:firstLine="360"/>
              <w:rPr>
                <w:sz w:val="18"/>
                <w:szCs w:val="18"/>
              </w:rPr>
            </w:pPr>
            <w:r>
              <w:rPr>
                <w:rFonts w:hint="eastAsia"/>
                <w:sz w:val="18"/>
                <w:szCs w:val="18"/>
              </w:rPr>
              <w:t>投标人必须能够提供本项目所采购的在线教学平台的二次开发服务，根据采购人的要求进行二次开发完善。由于和采购人的需求功能不一致导致的适当修改应该免费提供，如为采购人提出的比较多功能增加，则双方另行协商对二次开发进行收费。</w:t>
            </w:r>
          </w:p>
          <w:p>
            <w:pPr>
              <w:rPr>
                <w:b/>
                <w:sz w:val="18"/>
                <w:szCs w:val="18"/>
              </w:rPr>
            </w:pPr>
            <w:r>
              <w:rPr>
                <w:rFonts w:hint="eastAsia"/>
                <w:b/>
                <w:sz w:val="18"/>
                <w:szCs w:val="18"/>
              </w:rPr>
              <w:t>五、签约期及售后服务要求</w:t>
            </w:r>
          </w:p>
          <w:p>
            <w:pPr>
              <w:ind w:firstLine="360" w:firstLineChars="200"/>
              <w:rPr>
                <w:sz w:val="18"/>
                <w:szCs w:val="18"/>
              </w:rPr>
            </w:pPr>
            <w:r>
              <w:rPr>
                <w:rFonts w:hint="eastAsia"/>
                <w:sz w:val="18"/>
                <w:szCs w:val="18"/>
              </w:rPr>
              <w:t>本项目签约期为3年，自双方代表在验收单上签字之日起计算。签约旗内，中标人必须根据用户要求负责进行售后技术支持和服务，如有新的软件版本，则免费升级。</w:t>
            </w:r>
          </w:p>
          <w:p>
            <w:pPr>
              <w:ind w:firstLine="360" w:firstLineChars="200"/>
              <w:rPr>
                <w:sz w:val="18"/>
                <w:szCs w:val="18"/>
              </w:rPr>
            </w:pPr>
            <w:r>
              <w:rPr>
                <w:rFonts w:hint="eastAsia"/>
                <w:sz w:val="18"/>
                <w:szCs w:val="18"/>
              </w:rPr>
              <w:t>签约期内，如中标人不能实现投标时候的承诺，则采购人有权提前中断签约期。</w:t>
            </w:r>
          </w:p>
          <w:p>
            <w:pPr>
              <w:ind w:firstLine="360" w:firstLineChars="200"/>
              <w:rPr>
                <w:sz w:val="18"/>
                <w:szCs w:val="18"/>
              </w:rPr>
            </w:pPr>
            <w:r>
              <w:rPr>
                <w:rFonts w:hint="eastAsia"/>
                <w:sz w:val="18"/>
                <w:szCs w:val="18"/>
              </w:rPr>
              <w:t>签约期后，由采购人和中标人共同商定是否续签，如续签，则续签期间中标人继续免费提供售后技术服务和支持，并免费提供软件升级服务。</w:t>
            </w:r>
          </w:p>
          <w:p>
            <w:pPr>
              <w:rPr>
                <w:b/>
                <w:sz w:val="18"/>
                <w:szCs w:val="18"/>
              </w:rPr>
            </w:pPr>
            <w:r>
              <w:rPr>
                <w:rFonts w:hint="eastAsia"/>
                <w:b/>
                <w:sz w:val="18"/>
                <w:szCs w:val="18"/>
              </w:rPr>
              <w:t>六、其他要求</w:t>
            </w:r>
          </w:p>
          <w:p>
            <w:pPr>
              <w:rPr>
                <w:sz w:val="18"/>
                <w:szCs w:val="18"/>
              </w:rPr>
            </w:pPr>
            <w:r>
              <w:rPr>
                <w:rFonts w:hint="eastAsia"/>
                <w:sz w:val="18"/>
                <w:szCs w:val="18"/>
              </w:rPr>
              <w:t xml:space="preserve">    投标人必须免费提供一套基于互联网的成人高考辅导平台给梧州学院使用，平台可独立使用，无使用人数限制，能够提供全国成人高考的各类别考试的练习辅导。</w:t>
            </w:r>
          </w:p>
          <w:p>
            <w:pPr>
              <w:rPr>
                <w:sz w:val="18"/>
                <w:szCs w:val="18"/>
              </w:rPr>
            </w:pPr>
          </w:p>
          <w:p>
            <w:pPr>
              <w:rPr>
                <w:sz w:val="18"/>
                <w:szCs w:val="18"/>
              </w:rPr>
            </w:pPr>
          </w:p>
        </w:tc>
        <w:tc>
          <w:tcPr>
            <w:tcW w:w="567" w:type="dxa"/>
          </w:tcPr>
          <w:p>
            <w:pPr>
              <w:rPr>
                <w:sz w:val="18"/>
                <w:szCs w:val="18"/>
              </w:rPr>
            </w:pPr>
            <w:r>
              <w:rPr>
                <w:rFonts w:hint="eastAsia"/>
                <w:sz w:val="18"/>
                <w:szCs w:val="18"/>
              </w:rPr>
              <w:t>1套</w:t>
            </w:r>
          </w:p>
        </w:tc>
        <w:tc>
          <w:tcPr>
            <w:tcW w:w="1418" w:type="dxa"/>
          </w:tcPr>
          <w:p>
            <w:pPr>
              <w:rPr>
                <w:sz w:val="18"/>
                <w:szCs w:val="18"/>
              </w:rPr>
            </w:pPr>
            <w:r>
              <w:rPr>
                <w:rFonts w:hint="eastAsia"/>
                <w:sz w:val="18"/>
                <w:szCs w:val="18"/>
              </w:rPr>
              <w:t>1.在线教育平台免费提供给梧州学院使用</w:t>
            </w:r>
          </w:p>
          <w:p>
            <w:pPr>
              <w:rPr>
                <w:sz w:val="18"/>
                <w:szCs w:val="18"/>
              </w:rPr>
            </w:pPr>
            <w:r>
              <w:rPr>
                <w:rFonts w:hint="eastAsia"/>
                <w:sz w:val="18"/>
                <w:szCs w:val="18"/>
              </w:rPr>
              <w:t>2.梧州学院授权投标人在在线教育平台上对“</w:t>
            </w:r>
            <w:r>
              <w:rPr>
                <w:rFonts w:hint="eastAsia" w:ascii="宋体" w:hAnsi="宋体"/>
                <w:color w:val="000000"/>
                <w:sz w:val="18"/>
                <w:szCs w:val="18"/>
              </w:rPr>
              <w:t>共享网络课程”的课程资源使用收费，投标人对课程资源使报价，格式为每学员**元/门。该收费由中标人直接向通过平台使用</w:t>
            </w:r>
            <w:r>
              <w:rPr>
                <w:rFonts w:hint="eastAsia"/>
                <w:sz w:val="18"/>
                <w:szCs w:val="18"/>
              </w:rPr>
              <w:t>“</w:t>
            </w:r>
            <w:r>
              <w:rPr>
                <w:rFonts w:hint="eastAsia" w:ascii="宋体" w:hAnsi="宋体"/>
                <w:color w:val="000000"/>
                <w:sz w:val="18"/>
                <w:szCs w:val="18"/>
              </w:rPr>
              <w:t>共享网络课程”的学员收取。</w:t>
            </w:r>
          </w:p>
        </w:tc>
        <w:tc>
          <w:tcPr>
            <w:tcW w:w="741" w:type="dxa"/>
          </w:tcPr>
          <w:p>
            <w:pPr>
              <w:rPr>
                <w:sz w:val="18"/>
                <w:szCs w:val="18"/>
              </w:rPr>
            </w:pPr>
          </w:p>
        </w:tc>
      </w:tr>
    </w:tbl>
    <w:p>
      <w:pPr>
        <w:rPr>
          <w:sz w:val="28"/>
          <w:szCs w:val="28"/>
        </w:rPr>
      </w:pPr>
    </w:p>
    <w:p>
      <w:pPr>
        <w:pStyle w:val="3"/>
      </w:pPr>
      <w:r>
        <w:rPr>
          <w:rFonts w:hint="eastAsia"/>
        </w:rPr>
        <w:t>二、商务要求</w:t>
      </w:r>
    </w:p>
    <w:p>
      <w:pPr>
        <w:ind w:firstLine="420" w:firstLineChars="200"/>
      </w:pPr>
      <w:r>
        <w:rPr>
          <w:rFonts w:hint="eastAsia"/>
        </w:rPr>
        <w:t>1. 交付期期及地点：自合同签订之日，6周内完成项目的部署和实施。</w:t>
      </w:r>
    </w:p>
    <w:p>
      <w:pPr>
        <w:ind w:firstLine="420" w:firstLineChars="200"/>
      </w:pPr>
      <w:r>
        <w:rPr>
          <w:rFonts w:hint="eastAsia"/>
        </w:rPr>
        <w:t>2. 对投标人的要求</w:t>
      </w:r>
    </w:p>
    <w:p>
      <w:pPr>
        <w:ind w:firstLine="420" w:firstLineChars="200"/>
      </w:pPr>
      <w:r>
        <w:rPr>
          <w:rFonts w:hint="eastAsia"/>
        </w:rPr>
        <w:t>（1）投标人应具备完备的技术服务队伍和后续研发队伍。</w:t>
      </w:r>
    </w:p>
    <w:p>
      <w:pPr>
        <w:ind w:firstLine="420" w:firstLineChars="200"/>
      </w:pPr>
      <w:r>
        <w:rPr>
          <w:rFonts w:hint="eastAsia"/>
        </w:rPr>
        <w:t>（2）投标人在投标时候必须提供具备网上销售电子出版物许可的《中华人民共和国出版物经营许可证》。</w:t>
      </w:r>
    </w:p>
    <w:p>
      <w:pPr>
        <w:ind w:firstLine="420" w:firstLineChars="200"/>
      </w:pPr>
      <w:r>
        <w:rPr>
          <w:rFonts w:hint="eastAsia"/>
        </w:rPr>
        <w:t>（3）投标人必须保证所提供的全部材料的真实性。</w:t>
      </w:r>
    </w:p>
    <w:p>
      <w:pPr>
        <w:ind w:firstLine="525" w:firstLineChars="250"/>
      </w:pPr>
      <w:r>
        <w:rPr>
          <w:rFonts w:hint="eastAsia"/>
        </w:rPr>
        <w:t>3. 培训</w:t>
      </w:r>
    </w:p>
    <w:p>
      <w:pPr>
        <w:ind w:firstLine="525" w:firstLineChars="250"/>
      </w:pPr>
      <w:r>
        <w:rPr>
          <w:rFonts w:hint="eastAsia"/>
        </w:rPr>
        <w:t>（1）使用培训：对平台管理者、教学站和相关人员免费提供全面的使用培训。</w:t>
      </w:r>
    </w:p>
    <w:p>
      <w:pPr>
        <w:ind w:firstLine="525" w:firstLineChars="250"/>
      </w:pPr>
      <w:r>
        <w:rPr>
          <w:rFonts w:hint="eastAsia"/>
        </w:rPr>
        <w:t>（2）维护培训：免费对平台管理者进行平台的基本维护培训。</w:t>
      </w:r>
    </w:p>
    <w:p>
      <w:pPr>
        <w:ind w:firstLine="525" w:firstLineChars="250"/>
        <w:rPr>
          <w:rFonts w:ascii="Times New Roman" w:hAnsi="Times New Roman" w:eastAsia="宋体" w:cs="Arial"/>
          <w:color w:val="000000"/>
          <w:kern w:val="0"/>
          <w:szCs w:val="21"/>
        </w:rPr>
      </w:pPr>
      <w:r>
        <w:rPr>
          <w:rFonts w:hint="eastAsia"/>
        </w:rPr>
        <w:t>4.</w:t>
      </w:r>
      <w:r>
        <w:rPr>
          <w:rFonts w:hint="eastAsia" w:ascii="Times New Roman" w:hAnsi="Times New Roman" w:eastAsia="宋体"/>
          <w:color w:val="000000"/>
          <w:kern w:val="0"/>
          <w:szCs w:val="21"/>
        </w:rPr>
        <w:t xml:space="preserve"> 标示</w:t>
      </w:r>
      <w:r>
        <w:rPr>
          <w:rFonts w:ascii="Times New Roman" w:hAnsi="Times New Roman" w:eastAsia="宋体" w:cs="Arial"/>
          <w:color w:val="000000"/>
          <w:kern w:val="0"/>
          <w:szCs w:val="21"/>
        </w:rPr>
        <w:t>“必须”</w:t>
      </w:r>
      <w:r>
        <w:rPr>
          <w:rFonts w:hint="eastAsia" w:ascii="Times New Roman" w:hAnsi="Times New Roman" w:eastAsia="宋体" w:cs="Arial"/>
          <w:color w:val="000000"/>
          <w:kern w:val="0"/>
          <w:szCs w:val="21"/>
        </w:rPr>
        <w:t>的为实质性的参数和配置，响应文件如不满足，将导致响应文件无效。</w:t>
      </w:r>
    </w:p>
    <w:p>
      <w:pPr>
        <w:ind w:firstLine="525" w:firstLineChars="250"/>
        <w:rPr>
          <w:rFonts w:cs="Arial" w:asciiTheme="minorEastAsia" w:hAnsiTheme="minorEastAsia"/>
          <w:bCs/>
          <w:color w:val="000000"/>
          <w:kern w:val="0"/>
          <w:szCs w:val="21"/>
        </w:rPr>
      </w:pPr>
      <w:r>
        <w:rPr>
          <w:rFonts w:hint="eastAsia" w:ascii="Times New Roman" w:hAnsi="Times New Roman" w:eastAsia="宋体" w:cs="Arial"/>
          <w:color w:val="000000"/>
          <w:kern w:val="0"/>
          <w:szCs w:val="21"/>
        </w:rPr>
        <w:t>5.</w:t>
      </w:r>
      <w:r>
        <w:rPr>
          <w:rFonts w:hint="eastAsia" w:cs="Arial" w:asciiTheme="minorEastAsia" w:hAnsiTheme="minorEastAsia"/>
          <w:bCs/>
          <w:color w:val="000000"/>
          <w:kern w:val="0"/>
          <w:szCs w:val="21"/>
        </w:rPr>
        <w:t xml:space="preserve"> 中标供应商须在收到中标通知书两天内配合采购人对所提供产品参数的真实性、实际效果进行测试和对厂商产品资质进行验证，如发现不满足竞标要求或发现有虚假应答行为的，采购人将拒绝该产品并报政府采购有关管理部门.</w:t>
      </w:r>
    </w:p>
    <w:p>
      <w:pPr>
        <w:ind w:firstLine="420" w:firstLineChars="200"/>
        <w:rPr>
          <w:rFonts w:ascii="Times New Roman" w:hAnsi="Times New Roman" w:eastAsia="宋体"/>
          <w:color w:val="000000"/>
          <w:szCs w:val="21"/>
        </w:rPr>
      </w:pPr>
      <w:r>
        <w:rPr>
          <w:rFonts w:hint="eastAsia" w:cs="Arial" w:asciiTheme="minorEastAsia" w:hAnsiTheme="minorEastAsia"/>
          <w:bCs/>
          <w:color w:val="000000"/>
          <w:kern w:val="0"/>
          <w:szCs w:val="21"/>
        </w:rPr>
        <w:t>6.</w:t>
      </w:r>
      <w:r>
        <w:rPr>
          <w:rFonts w:ascii="Times New Roman" w:hAnsi="Times New Roman" w:eastAsia="宋体"/>
          <w:color w:val="000000"/>
          <w:szCs w:val="21"/>
        </w:rPr>
        <w:t xml:space="preserve"> 投标人必须提供以下指定课程，供专家评委抽查其中1～3门进行现场演示，作为评判网络在线教学平台及课件水平和质量依据之一：</w:t>
      </w:r>
    </w:p>
    <w:tbl>
      <w:tblPr>
        <w:tblStyle w:val="10"/>
        <w:tblW w:w="878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681"/>
        <w:gridCol w:w="2518"/>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rPr>
                <w:rFonts w:ascii="Times New Roman" w:hAnsi="Times New Roman" w:eastAsia="宋体"/>
                <w:color w:val="000000"/>
                <w:szCs w:val="21"/>
              </w:rPr>
            </w:pPr>
            <w:r>
              <w:rPr>
                <w:rFonts w:hint="eastAsia" w:ascii="Times New Roman" w:hAnsi="Times New Roman" w:eastAsia="宋体"/>
                <w:color w:val="000000"/>
                <w:szCs w:val="21"/>
              </w:rPr>
              <w:t>序号</w:t>
            </w:r>
          </w:p>
        </w:tc>
        <w:tc>
          <w:tcPr>
            <w:tcW w:w="2681" w:type="dxa"/>
          </w:tcPr>
          <w:p>
            <w:pPr>
              <w:rPr>
                <w:rFonts w:ascii="Times New Roman" w:hAnsi="Times New Roman" w:eastAsia="宋体"/>
                <w:color w:val="000000"/>
                <w:szCs w:val="21"/>
              </w:rPr>
            </w:pPr>
            <w:r>
              <w:rPr>
                <w:rFonts w:hint="eastAsia" w:ascii="Times New Roman" w:hAnsi="Times New Roman" w:eastAsia="宋体"/>
                <w:color w:val="000000"/>
                <w:szCs w:val="21"/>
              </w:rPr>
              <w:t>课程名称</w:t>
            </w:r>
          </w:p>
        </w:tc>
        <w:tc>
          <w:tcPr>
            <w:tcW w:w="2518" w:type="dxa"/>
          </w:tcPr>
          <w:p>
            <w:pPr>
              <w:rPr>
                <w:rFonts w:ascii="Times New Roman" w:hAnsi="Times New Roman" w:eastAsia="宋体"/>
                <w:color w:val="000000"/>
                <w:szCs w:val="21"/>
              </w:rPr>
            </w:pPr>
            <w:r>
              <w:rPr>
                <w:rFonts w:hint="eastAsia" w:ascii="Times New Roman" w:hAnsi="Times New Roman" w:eastAsia="宋体"/>
                <w:color w:val="000000"/>
                <w:szCs w:val="21"/>
              </w:rPr>
              <w:t>课件类型</w:t>
            </w:r>
          </w:p>
        </w:tc>
        <w:tc>
          <w:tcPr>
            <w:tcW w:w="2678" w:type="dxa"/>
          </w:tcPr>
          <w:p>
            <w:pPr>
              <w:rPr>
                <w:rFonts w:ascii="Times New Roman" w:hAnsi="Times New Roman" w:eastAsia="宋体"/>
                <w:color w:val="000000"/>
                <w:szCs w:val="21"/>
              </w:rPr>
            </w:pPr>
            <w:r>
              <w:rPr>
                <w:rFonts w:hint="eastAsia" w:ascii="Times New Roman" w:hAnsi="Times New Roman" w:eastAsia="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rPr>
                <w:rFonts w:ascii="Times New Roman" w:hAnsi="Times New Roman" w:eastAsia="宋体"/>
                <w:color w:val="000000"/>
                <w:szCs w:val="21"/>
              </w:rPr>
            </w:pPr>
            <w:r>
              <w:rPr>
                <w:rFonts w:hint="eastAsia" w:ascii="Times New Roman" w:hAnsi="Times New Roman" w:eastAsia="宋体"/>
                <w:color w:val="000000"/>
                <w:szCs w:val="21"/>
              </w:rPr>
              <w:t>1</w:t>
            </w:r>
          </w:p>
        </w:tc>
        <w:tc>
          <w:tcPr>
            <w:tcW w:w="2681" w:type="dxa"/>
          </w:tcPr>
          <w:p>
            <w:pPr>
              <w:rPr>
                <w:rFonts w:ascii="Times New Roman" w:hAnsi="Times New Roman" w:eastAsia="宋体"/>
                <w:color w:val="000000"/>
                <w:szCs w:val="21"/>
              </w:rPr>
            </w:pPr>
            <w:r>
              <w:rPr>
                <w:rFonts w:hint="eastAsia" w:ascii="Times New Roman" w:hAnsi="Times New Roman" w:eastAsia="宋体"/>
                <w:color w:val="000000"/>
                <w:szCs w:val="21"/>
              </w:rPr>
              <w:t>国际金融</w:t>
            </w:r>
          </w:p>
        </w:tc>
        <w:tc>
          <w:tcPr>
            <w:tcW w:w="2518" w:type="dxa"/>
          </w:tcPr>
          <w:p>
            <w:pPr>
              <w:rPr>
                <w:rFonts w:ascii="Times New Roman" w:hAnsi="Times New Roman" w:eastAsia="宋体"/>
                <w:color w:val="000000"/>
                <w:szCs w:val="21"/>
              </w:rPr>
            </w:pPr>
            <w:r>
              <w:rPr>
                <w:rFonts w:hint="eastAsia" w:ascii="Times New Roman" w:hAnsi="Times New Roman" w:eastAsia="宋体"/>
                <w:color w:val="000000"/>
                <w:szCs w:val="21"/>
              </w:rPr>
              <w:t>非PPT资料型</w:t>
            </w:r>
          </w:p>
        </w:tc>
        <w:tc>
          <w:tcPr>
            <w:tcW w:w="2678" w:type="dxa"/>
          </w:tcPr>
          <w:p>
            <w:pPr>
              <w:rPr>
                <w:rFonts w:ascii="Times New Roman" w:hAnsi="Times New Roman"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rPr>
                <w:rFonts w:ascii="Times New Roman" w:hAnsi="Times New Roman" w:eastAsia="宋体"/>
                <w:color w:val="000000"/>
                <w:szCs w:val="21"/>
              </w:rPr>
            </w:pPr>
            <w:r>
              <w:rPr>
                <w:rFonts w:hint="eastAsia" w:ascii="Times New Roman" w:hAnsi="Times New Roman" w:eastAsia="宋体"/>
                <w:color w:val="000000"/>
                <w:szCs w:val="21"/>
              </w:rPr>
              <w:t>2</w:t>
            </w:r>
          </w:p>
        </w:tc>
        <w:tc>
          <w:tcPr>
            <w:tcW w:w="2681" w:type="dxa"/>
          </w:tcPr>
          <w:p>
            <w:pPr>
              <w:rPr>
                <w:rFonts w:ascii="Times New Roman" w:hAnsi="Times New Roman" w:eastAsia="宋体"/>
                <w:color w:val="000000"/>
                <w:szCs w:val="21"/>
              </w:rPr>
            </w:pPr>
            <w:r>
              <w:rPr>
                <w:rFonts w:hint="eastAsia" w:ascii="Times New Roman" w:hAnsi="Times New Roman" w:eastAsia="宋体"/>
                <w:color w:val="000000"/>
                <w:szCs w:val="21"/>
              </w:rPr>
              <w:t>消费行为学</w:t>
            </w:r>
          </w:p>
        </w:tc>
        <w:tc>
          <w:tcPr>
            <w:tcW w:w="2518" w:type="dxa"/>
          </w:tcPr>
          <w:p>
            <w:pPr>
              <w:rPr>
                <w:rFonts w:ascii="Times New Roman" w:hAnsi="Times New Roman" w:eastAsia="宋体"/>
                <w:color w:val="000000"/>
                <w:szCs w:val="21"/>
              </w:rPr>
            </w:pPr>
            <w:r>
              <w:rPr>
                <w:rFonts w:hint="eastAsia" w:ascii="Times New Roman" w:hAnsi="Times New Roman" w:eastAsia="宋体"/>
                <w:color w:val="000000"/>
                <w:szCs w:val="21"/>
              </w:rPr>
              <w:t>同上</w:t>
            </w:r>
          </w:p>
        </w:tc>
        <w:tc>
          <w:tcPr>
            <w:tcW w:w="2678" w:type="dxa"/>
          </w:tcPr>
          <w:p>
            <w:pPr>
              <w:rPr>
                <w:rFonts w:ascii="Times New Roman" w:hAnsi="Times New Roman"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rPr>
                <w:rFonts w:ascii="Times New Roman" w:hAnsi="Times New Roman" w:eastAsia="宋体"/>
                <w:color w:val="000000"/>
                <w:szCs w:val="21"/>
              </w:rPr>
            </w:pPr>
            <w:r>
              <w:rPr>
                <w:rFonts w:hint="eastAsia" w:ascii="Times New Roman" w:hAnsi="Times New Roman" w:eastAsia="宋体"/>
                <w:color w:val="000000"/>
                <w:szCs w:val="21"/>
              </w:rPr>
              <w:t>3</w:t>
            </w:r>
          </w:p>
        </w:tc>
        <w:tc>
          <w:tcPr>
            <w:tcW w:w="2681" w:type="dxa"/>
          </w:tcPr>
          <w:p>
            <w:pPr>
              <w:rPr>
                <w:rFonts w:ascii="Times New Roman" w:hAnsi="Times New Roman" w:eastAsia="宋体"/>
                <w:color w:val="000000"/>
                <w:szCs w:val="21"/>
              </w:rPr>
            </w:pPr>
            <w:r>
              <w:rPr>
                <w:rFonts w:hint="eastAsia" w:ascii="Times New Roman" w:hAnsi="Times New Roman" w:eastAsia="宋体"/>
                <w:color w:val="000000"/>
                <w:szCs w:val="21"/>
              </w:rPr>
              <w:t>经济学导论</w:t>
            </w:r>
          </w:p>
        </w:tc>
        <w:tc>
          <w:tcPr>
            <w:tcW w:w="2518" w:type="dxa"/>
          </w:tcPr>
          <w:p>
            <w:pPr>
              <w:rPr>
                <w:rFonts w:ascii="Times New Roman" w:hAnsi="Times New Roman" w:eastAsia="宋体"/>
                <w:color w:val="000000"/>
                <w:szCs w:val="21"/>
              </w:rPr>
            </w:pPr>
            <w:r>
              <w:rPr>
                <w:rFonts w:hint="eastAsia" w:ascii="Times New Roman" w:hAnsi="Times New Roman" w:eastAsia="宋体"/>
                <w:color w:val="000000"/>
                <w:szCs w:val="21"/>
              </w:rPr>
              <w:t>同上</w:t>
            </w:r>
          </w:p>
        </w:tc>
        <w:tc>
          <w:tcPr>
            <w:tcW w:w="2678" w:type="dxa"/>
          </w:tcPr>
          <w:p>
            <w:pPr>
              <w:rPr>
                <w:rFonts w:ascii="Times New Roman" w:hAnsi="Times New Roman" w:eastAsia="宋体"/>
                <w:color w:val="000000"/>
                <w:szCs w:val="21"/>
              </w:rPr>
            </w:pPr>
          </w:p>
        </w:tc>
      </w:tr>
    </w:tbl>
    <w:p>
      <w:pPr>
        <w:ind w:firstLine="525" w:firstLineChars="250"/>
      </w:pPr>
    </w:p>
    <w:p>
      <w:pPr>
        <w:pStyle w:val="3"/>
      </w:pPr>
      <w:r>
        <w:rPr>
          <w:rFonts w:hint="eastAsia"/>
        </w:rPr>
        <w:t>三、评标方法及评分标准</w:t>
      </w:r>
    </w:p>
    <w:p>
      <w:pPr>
        <w:pStyle w:val="4"/>
      </w:pPr>
      <w:r>
        <w:rPr>
          <w:rFonts w:hint="eastAsia"/>
        </w:rPr>
        <w:t>（一）、评标原则</w:t>
      </w:r>
    </w:p>
    <w:p>
      <w:pPr>
        <w:ind w:firstLine="420" w:firstLineChars="200"/>
        <w:rPr>
          <w:rFonts w:asciiTheme="minorEastAsia" w:hAnsiTheme="minorEastAsia"/>
        </w:rPr>
      </w:pPr>
      <w:r>
        <w:rPr>
          <w:rFonts w:hint="eastAsia" w:asciiTheme="minorEastAsia" w:hAnsiTheme="minorEastAsia"/>
        </w:rPr>
        <w:t>1.评标依据：评委将以招投标文件为评标依据，对投标人的投标报价、技术、信誉及业绩等方面内容按百分制打分。其中价格分</w:t>
      </w:r>
      <w:r>
        <w:rPr>
          <w:rFonts w:hint="eastAsia" w:asciiTheme="minorEastAsia" w:hAnsiTheme="minorEastAsia"/>
          <w:lang w:val="en-US" w:eastAsia="zh-CN"/>
        </w:rPr>
        <w:t>30</w:t>
      </w:r>
      <w:r>
        <w:rPr>
          <w:rFonts w:hint="eastAsia" w:asciiTheme="minorEastAsia" w:hAnsiTheme="minorEastAsia"/>
        </w:rPr>
        <w:t>分；技术分</w:t>
      </w:r>
      <w:r>
        <w:rPr>
          <w:rFonts w:hint="eastAsia" w:asciiTheme="minorEastAsia" w:hAnsiTheme="minorEastAsia"/>
          <w:lang w:val="en-US" w:eastAsia="zh-CN"/>
        </w:rPr>
        <w:t>25</w:t>
      </w:r>
      <w:r>
        <w:rPr>
          <w:rFonts w:hint="eastAsia" w:asciiTheme="minorEastAsia" w:hAnsiTheme="minorEastAsia"/>
        </w:rPr>
        <w:t>分；课程资源分</w:t>
      </w:r>
      <w:r>
        <w:rPr>
          <w:rFonts w:hint="eastAsia" w:asciiTheme="minorEastAsia" w:hAnsiTheme="minorEastAsia"/>
          <w:lang w:val="en-US" w:eastAsia="zh-CN"/>
        </w:rPr>
        <w:t>15</w:t>
      </w:r>
      <w:r>
        <w:rPr>
          <w:rFonts w:hint="eastAsia" w:asciiTheme="minorEastAsia" w:hAnsiTheme="minorEastAsia"/>
        </w:rPr>
        <w:t>分；售后服务分</w:t>
      </w:r>
      <w:r>
        <w:rPr>
          <w:rFonts w:hint="eastAsia" w:asciiTheme="minorEastAsia" w:hAnsiTheme="minorEastAsia"/>
          <w:lang w:val="en-US" w:eastAsia="zh-CN"/>
        </w:rPr>
        <w:t>10</w:t>
      </w:r>
      <w:r>
        <w:rPr>
          <w:rFonts w:hint="eastAsia" w:asciiTheme="minorEastAsia" w:hAnsiTheme="minorEastAsia"/>
        </w:rPr>
        <w:t>分；信誉及成功案例分</w:t>
      </w:r>
      <w:r>
        <w:rPr>
          <w:rFonts w:hint="eastAsia" w:asciiTheme="minorEastAsia" w:hAnsiTheme="minorEastAsia"/>
          <w:lang w:val="en-US" w:eastAsia="zh-CN"/>
        </w:rPr>
        <w:t>20</w:t>
      </w:r>
      <w:r>
        <w:rPr>
          <w:rFonts w:hint="eastAsia" w:asciiTheme="minorEastAsia" w:hAnsiTheme="minorEastAsia"/>
        </w:rPr>
        <w:t>分；</w:t>
      </w:r>
    </w:p>
    <w:p>
      <w:pPr>
        <w:ind w:firstLine="420" w:firstLineChars="200"/>
        <w:rPr>
          <w:rFonts w:asciiTheme="minorEastAsia" w:hAnsiTheme="minorEastAsia"/>
        </w:rPr>
      </w:pPr>
      <w:r>
        <w:rPr>
          <w:rFonts w:hint="eastAsia" w:asciiTheme="minorEastAsia" w:hAnsiTheme="minorEastAsia"/>
        </w:rPr>
        <w:t>2.评标方式：以封闭方式进行</w:t>
      </w:r>
    </w:p>
    <w:p>
      <w:pPr>
        <w:pStyle w:val="4"/>
      </w:pPr>
      <w:r>
        <w:rPr>
          <w:rFonts w:hint="eastAsia"/>
        </w:rPr>
        <w:t>（二）.评定方法：</w:t>
      </w:r>
    </w:p>
    <w:p>
      <w:pPr>
        <w:ind w:firstLine="420" w:firstLineChars="200"/>
        <w:rPr>
          <w:rFonts w:asciiTheme="minorEastAsia" w:hAnsiTheme="minorEastAsia"/>
        </w:rPr>
      </w:pPr>
      <w:r>
        <w:rPr>
          <w:rFonts w:hint="eastAsia" w:asciiTheme="minorEastAsia" w:hAnsiTheme="minorEastAsia"/>
        </w:rPr>
        <w:t>对进入详评的，采用百分制综合评分法。计分办法(按四舍五入取至百分位)：</w:t>
      </w:r>
    </w:p>
    <w:p>
      <w:pPr>
        <w:ind w:firstLine="420" w:firstLineChars="200"/>
        <w:rPr>
          <w:rFonts w:asciiTheme="minorEastAsia" w:hAnsiTheme="minorEastAsia"/>
        </w:rPr>
      </w:pPr>
      <w:r>
        <w:rPr>
          <w:rFonts w:hint="eastAsia" w:asciiTheme="minorEastAsia" w:hAnsiTheme="minorEastAsia"/>
        </w:rPr>
        <w:t>1.价格分（30分）</w:t>
      </w:r>
    </w:p>
    <w:p>
      <w:pPr>
        <w:ind w:firstLine="420" w:firstLineChars="200"/>
        <w:rPr>
          <w:rFonts w:asciiTheme="minorEastAsia" w:hAnsiTheme="minorEastAsia"/>
        </w:rPr>
      </w:pPr>
      <w:r>
        <w:rPr>
          <w:rFonts w:hint="eastAsia" w:asciiTheme="minorEastAsia" w:hAnsiTheme="minorEastAsia"/>
        </w:rPr>
        <w:t>(1)以进入评标的最低的课程资源使用费投标报价得分为20分。</w:t>
      </w:r>
    </w:p>
    <w:p>
      <w:pPr>
        <w:ind w:firstLine="315" w:firstLineChars="150"/>
        <w:rPr>
          <w:rFonts w:asciiTheme="minorEastAsia" w:hAnsiTheme="minorEastAsia"/>
        </w:rPr>
      </w:pPr>
      <w:r>
        <w:rPr>
          <w:rFonts w:hint="eastAsia" w:asciiTheme="minorEastAsia" w:hAnsiTheme="minorEastAsia"/>
        </w:rPr>
        <w:t>（2）投标人价格分=课程资源使用费得分</w:t>
      </w:r>
    </w:p>
    <w:p>
      <w:pPr>
        <w:ind w:firstLine="525" w:firstLineChars="250"/>
        <w:rPr>
          <w:rFonts w:ascii="Times New Roman" w:hAnsi="Times New Roman" w:eastAsia="宋体" w:cs="宋体"/>
          <w:color w:val="000000"/>
          <w:szCs w:val="21"/>
        </w:rPr>
      </w:pPr>
      <w:r>
        <w:rPr>
          <w:rFonts w:hint="eastAsia" w:ascii="Times New Roman" w:hAnsi="Times New Roman" w:eastAsia="宋体" w:cs="宋体"/>
          <w:color w:val="000000"/>
          <w:szCs w:val="21"/>
        </w:rPr>
        <w:t>课程资源使用费得分=</w:t>
      </w:r>
      <w:r>
        <w:rPr>
          <w:rFonts w:hint="eastAsia" w:ascii="Times New Roman" w:hAnsi="Times New Roman" w:eastAsia="宋体" w:cs="宋体"/>
          <w:color w:val="000000"/>
          <w:szCs w:val="21"/>
        </w:rPr>
        <w:fldChar w:fldCharType="begin"/>
      </w:r>
      <w:r>
        <w:rPr>
          <w:rFonts w:hint="eastAsia" w:ascii="Times New Roman" w:hAnsi="Times New Roman" w:eastAsia="宋体" w:cs="宋体"/>
          <w:color w:val="000000"/>
          <w:szCs w:val="21"/>
        </w:rPr>
        <w:instrText xml:space="preserve"> EQ \F(投标人最低投标报价（金额）,某投标人投标报价（金额）) </w:instrText>
      </w:r>
      <w:r>
        <w:rPr>
          <w:rFonts w:hint="eastAsia" w:ascii="Times New Roman" w:hAnsi="Times New Roman" w:eastAsia="宋体" w:cs="宋体"/>
          <w:color w:val="000000"/>
          <w:szCs w:val="21"/>
        </w:rPr>
        <w:fldChar w:fldCharType="end"/>
      </w:r>
      <w:r>
        <w:rPr>
          <w:rFonts w:hint="eastAsia" w:ascii="Times New Roman" w:hAnsi="Times New Roman" w:eastAsia="宋体" w:cs="宋体"/>
          <w:color w:val="000000"/>
          <w:szCs w:val="21"/>
        </w:rPr>
        <w:t>×20分</w:t>
      </w:r>
    </w:p>
    <w:p>
      <w:pPr>
        <w:ind w:firstLine="420" w:firstLineChars="200"/>
        <w:rPr>
          <w:rFonts w:asciiTheme="minorEastAsia" w:hAnsiTheme="minorEastAsia"/>
        </w:rPr>
      </w:pPr>
      <w:r>
        <w:rPr>
          <w:rFonts w:hint="eastAsia" w:asciiTheme="minorEastAsia" w:hAnsiTheme="minorEastAsia"/>
        </w:rPr>
        <w:t>2.技术分（25分）</w:t>
      </w:r>
    </w:p>
    <w:p>
      <w:pPr>
        <w:ind w:firstLine="420" w:firstLineChars="200"/>
        <w:rPr>
          <w:rFonts w:asciiTheme="minorEastAsia" w:hAnsiTheme="minorEastAsia"/>
        </w:rPr>
      </w:pPr>
      <w:r>
        <w:rPr>
          <w:rFonts w:hint="eastAsia" w:asciiTheme="minorEastAsia" w:hAnsiTheme="minorEastAsia"/>
        </w:rPr>
        <w:t xml:space="preserve"> (1) 技术响应分（满分8分）</w:t>
      </w:r>
    </w:p>
    <w:p>
      <w:pPr>
        <w:ind w:firstLine="525" w:firstLineChars="250"/>
        <w:rPr>
          <w:rFonts w:asciiTheme="minorEastAsia" w:hAnsiTheme="minorEastAsia"/>
        </w:rPr>
      </w:pPr>
      <w:r>
        <w:rPr>
          <w:rFonts w:hint="eastAsia" w:asciiTheme="minorEastAsia" w:hAnsiTheme="minorEastAsia"/>
        </w:rPr>
        <w:t>一档（0.1～3分）：基本能够理解本项目的特点；提出了基本可行的技术方案。</w:t>
      </w:r>
    </w:p>
    <w:p>
      <w:pPr>
        <w:ind w:firstLine="525" w:firstLineChars="250"/>
        <w:rPr>
          <w:rFonts w:asciiTheme="minorEastAsia" w:hAnsiTheme="minorEastAsia"/>
        </w:rPr>
      </w:pPr>
      <w:r>
        <w:rPr>
          <w:rFonts w:hint="eastAsia" w:asciiTheme="minorEastAsia" w:hAnsiTheme="minorEastAsia"/>
        </w:rPr>
        <w:t>二档（3.1～5分）：较准确理解本项目的特点；提出较完整可行的技术方案。</w:t>
      </w:r>
    </w:p>
    <w:p>
      <w:pPr>
        <w:ind w:firstLine="525" w:firstLineChars="250"/>
        <w:rPr>
          <w:rFonts w:asciiTheme="minorEastAsia" w:hAnsiTheme="minorEastAsia"/>
        </w:rPr>
      </w:pPr>
      <w:r>
        <w:rPr>
          <w:rFonts w:hint="eastAsia" w:asciiTheme="minorEastAsia" w:hAnsiTheme="minorEastAsia"/>
        </w:rPr>
        <w:t>三档（5.1～8分）：提准确理解本项目的特点；技术方案全面、准确、科学合理。</w:t>
      </w:r>
    </w:p>
    <w:p>
      <w:pPr>
        <w:ind w:firstLine="420" w:firstLineChars="200"/>
        <w:rPr>
          <w:rFonts w:asciiTheme="minorEastAsia" w:hAnsiTheme="minorEastAsia"/>
        </w:rPr>
      </w:pPr>
      <w:r>
        <w:rPr>
          <w:rFonts w:hint="eastAsia" w:asciiTheme="minorEastAsia" w:hAnsiTheme="minorEastAsia"/>
        </w:rPr>
        <w:t>（2）云平台实施及服务方案分（满分7分）</w:t>
      </w:r>
    </w:p>
    <w:p>
      <w:pPr>
        <w:ind w:firstLine="525" w:firstLineChars="250"/>
        <w:rPr>
          <w:rFonts w:asciiTheme="minorEastAsia" w:hAnsiTheme="minorEastAsia"/>
        </w:rPr>
      </w:pPr>
      <w:r>
        <w:rPr>
          <w:rFonts w:hint="eastAsia" w:asciiTheme="minorEastAsia" w:hAnsiTheme="minorEastAsia"/>
        </w:rPr>
        <w:t>一档（0.1～2分）：提供了项目实施及服务方案（人员的专业素质、结构及项目经验、进度、方案等方面，所投入的人员必须提供社保证明相关材料），方案较为粗略，总体相对一般。</w:t>
      </w:r>
    </w:p>
    <w:p>
      <w:pPr>
        <w:ind w:firstLine="420" w:firstLineChars="200"/>
        <w:rPr>
          <w:rFonts w:asciiTheme="minorEastAsia" w:hAnsiTheme="minorEastAsia"/>
        </w:rPr>
      </w:pPr>
      <w:r>
        <w:rPr>
          <w:rFonts w:hint="eastAsia" w:asciiTheme="minorEastAsia" w:hAnsiTheme="minorEastAsia"/>
        </w:rPr>
        <w:t>二档（2.1～4分）：项目实施及服务方案（人员的专业素质、结构及项目经验、进度、方案等方面，所投入的人员必须提供社保证明相关材料）较详细，较为可行，方案总体相对较好。</w:t>
      </w:r>
    </w:p>
    <w:p>
      <w:pPr>
        <w:ind w:firstLine="420" w:firstLineChars="200"/>
        <w:rPr>
          <w:rFonts w:asciiTheme="minorEastAsia" w:hAnsiTheme="minorEastAsia"/>
        </w:rPr>
      </w:pPr>
      <w:r>
        <w:rPr>
          <w:rFonts w:hint="eastAsia" w:asciiTheme="minorEastAsia" w:hAnsiTheme="minorEastAsia"/>
        </w:rPr>
        <w:t>三档（4.1～7分）：项目实施及服务方案（人员的专业素质、结构及项目经验、进度、方案等方面，所投入的人员必须提供社保证明相关材料）详细、可行，方案总体相对优秀。</w:t>
      </w:r>
    </w:p>
    <w:p>
      <w:pPr>
        <w:ind w:firstLine="420" w:firstLineChars="200"/>
        <w:rPr>
          <w:rFonts w:asciiTheme="minorEastAsia" w:hAnsiTheme="minorEastAsia"/>
        </w:rPr>
      </w:pPr>
      <w:r>
        <w:rPr>
          <w:rFonts w:hint="eastAsia" w:asciiTheme="minorEastAsia" w:hAnsiTheme="minorEastAsia"/>
        </w:rPr>
        <w:t>（3）本地部署实施及服务方案分（满分10分）</w:t>
      </w:r>
    </w:p>
    <w:p>
      <w:pPr>
        <w:ind w:firstLine="420" w:firstLineChars="200"/>
        <w:rPr>
          <w:rFonts w:asciiTheme="minorEastAsia" w:hAnsiTheme="minorEastAsia"/>
        </w:rPr>
      </w:pPr>
      <w:r>
        <w:rPr>
          <w:rFonts w:hint="eastAsia" w:asciiTheme="minorEastAsia" w:hAnsiTheme="minorEastAsia"/>
        </w:rPr>
        <w:t>一档（0.1～3分）：提供了项目实施及服务方案（人员的专业素质、结构及项目经验、进度、方案等方面，所投入的人员必须提供社保证明相关材料），方案较为粗略，总体相对一般。</w:t>
      </w:r>
    </w:p>
    <w:p>
      <w:pPr>
        <w:ind w:firstLine="420" w:firstLineChars="200"/>
        <w:rPr>
          <w:rFonts w:asciiTheme="minorEastAsia" w:hAnsiTheme="minorEastAsia"/>
        </w:rPr>
      </w:pPr>
      <w:r>
        <w:rPr>
          <w:rFonts w:hint="eastAsia" w:asciiTheme="minorEastAsia" w:hAnsiTheme="minorEastAsia"/>
        </w:rPr>
        <w:t>二档（3.1～6分）：项目实施及服务方案（人员的专业素质、结构及项目经验、进度、方案等方面，所投入的人员必须提供社保证明相关材料）较详细，较为可行，方案总体相对较好。</w:t>
      </w:r>
    </w:p>
    <w:p>
      <w:pPr>
        <w:ind w:firstLine="420" w:firstLineChars="200"/>
        <w:rPr>
          <w:rFonts w:asciiTheme="minorEastAsia" w:hAnsiTheme="minorEastAsia"/>
        </w:rPr>
      </w:pPr>
      <w:r>
        <w:rPr>
          <w:rFonts w:hint="eastAsia" w:asciiTheme="minorEastAsia" w:hAnsiTheme="minorEastAsia"/>
        </w:rPr>
        <w:t>三档（6.1～10分）：项目实施及服务方案（人员的专业素质、结构及项目经验、进度、方案等方面，所投入的人员必须提供社保证明相关材料）详细、可行，方案总体相对优秀。</w:t>
      </w:r>
    </w:p>
    <w:p>
      <w:pPr>
        <w:ind w:firstLine="420" w:firstLineChars="200"/>
        <w:rPr>
          <w:rFonts w:asciiTheme="minorEastAsia" w:hAnsiTheme="minorEastAsia"/>
        </w:rPr>
      </w:pPr>
      <w:r>
        <w:rPr>
          <w:rFonts w:hint="eastAsia" w:asciiTheme="minorEastAsia" w:hAnsiTheme="minorEastAsia"/>
        </w:rPr>
        <w:t>3.课程资源分（15分）</w:t>
      </w:r>
    </w:p>
    <w:p>
      <w:pPr>
        <w:ind w:firstLine="420" w:firstLineChars="200"/>
        <w:rPr>
          <w:rFonts w:asciiTheme="minorEastAsia" w:hAnsiTheme="minorEastAsia"/>
        </w:rPr>
      </w:pPr>
      <w:r>
        <w:rPr>
          <w:rFonts w:hint="eastAsia" w:asciiTheme="minorEastAsia" w:hAnsiTheme="minorEastAsia"/>
        </w:rPr>
        <w:t>投标人必须提供课程版权文件或者被授权文件，否则课程资源分为0分。</w:t>
      </w:r>
    </w:p>
    <w:p>
      <w:pPr>
        <w:rPr>
          <w:rFonts w:asciiTheme="minorEastAsia" w:hAnsiTheme="minorEastAsia"/>
        </w:rPr>
      </w:pPr>
      <w:r>
        <w:rPr>
          <w:rFonts w:hint="eastAsia" w:asciiTheme="minorEastAsia" w:hAnsiTheme="minorEastAsia"/>
        </w:rPr>
        <w:t xml:space="preserve">    (1) 课程匹配分（满分5分）</w:t>
      </w:r>
    </w:p>
    <w:p>
      <w:pPr>
        <w:ind w:firstLine="420" w:firstLineChars="200"/>
        <w:rPr>
          <w:rFonts w:asciiTheme="minorEastAsia" w:hAnsiTheme="minorEastAsia"/>
        </w:rPr>
      </w:pPr>
      <w:r>
        <w:rPr>
          <w:rFonts w:hint="eastAsia" w:asciiTheme="minorEastAsia" w:hAnsiTheme="minorEastAsia"/>
        </w:rPr>
        <w:t>投标人能提供采购方指定的50门课程资源(梧州学院继续教育远程教学课程需求指定)。</w:t>
      </w:r>
    </w:p>
    <w:p>
      <w:pPr>
        <w:ind w:firstLine="105" w:firstLineChars="50"/>
        <w:rPr>
          <w:rFonts w:asciiTheme="minorEastAsia" w:hAnsiTheme="minorEastAsia"/>
        </w:rPr>
      </w:pPr>
      <w:r>
        <w:rPr>
          <w:rFonts w:hint="eastAsia" w:asciiTheme="minorEastAsia" w:hAnsiTheme="minorEastAsia"/>
        </w:rPr>
        <w:t>每少一门课程扣0.5分，扣完为止。</w:t>
      </w:r>
    </w:p>
    <w:p>
      <w:pPr>
        <w:ind w:firstLine="315" w:firstLineChars="150"/>
        <w:rPr>
          <w:rFonts w:asciiTheme="minorEastAsia" w:hAnsiTheme="minorEastAsia"/>
        </w:rPr>
      </w:pPr>
      <w:r>
        <w:rPr>
          <w:rFonts w:hint="eastAsia" w:asciiTheme="minorEastAsia" w:hAnsiTheme="minorEastAsia"/>
        </w:rPr>
        <w:t>（2）课程质量分（满分5分）</w:t>
      </w:r>
    </w:p>
    <w:p>
      <w:pPr>
        <w:ind w:firstLine="420" w:firstLineChars="200"/>
        <w:rPr>
          <w:rFonts w:asciiTheme="minorEastAsia" w:hAnsiTheme="minorEastAsia"/>
        </w:rPr>
      </w:pPr>
      <w:r>
        <w:rPr>
          <w:rFonts w:hint="eastAsia" w:asciiTheme="minorEastAsia" w:hAnsiTheme="minorEastAsia"/>
        </w:rPr>
        <w:t>课程全部来自于985/211高校（满分3分）；</w:t>
      </w:r>
    </w:p>
    <w:p>
      <w:pPr>
        <w:ind w:firstLine="420" w:firstLineChars="200"/>
        <w:rPr>
          <w:rFonts w:asciiTheme="minorEastAsia" w:hAnsiTheme="minorEastAsia"/>
        </w:rPr>
      </w:pPr>
      <w:r>
        <w:rPr>
          <w:rFonts w:hint="eastAsia" w:asciiTheme="minorEastAsia" w:hAnsiTheme="minorEastAsia"/>
        </w:rPr>
        <w:t>有配套习题、考试题库的课程比例（满分2分）。</w:t>
      </w:r>
    </w:p>
    <w:p>
      <w:pPr>
        <w:ind w:firstLine="315" w:firstLineChars="150"/>
        <w:rPr>
          <w:rFonts w:asciiTheme="minorEastAsia" w:hAnsiTheme="minorEastAsia"/>
        </w:rPr>
      </w:pPr>
      <w:r>
        <w:rPr>
          <w:rFonts w:hint="eastAsia" w:asciiTheme="minorEastAsia" w:hAnsiTheme="minorEastAsia"/>
        </w:rPr>
        <w:t>（3）演示分（满分5分）</w:t>
      </w:r>
    </w:p>
    <w:p>
      <w:pPr>
        <w:ind w:firstLine="420" w:firstLineChars="200"/>
        <w:rPr>
          <w:rFonts w:asciiTheme="minorEastAsia" w:hAnsiTheme="minorEastAsia"/>
        </w:rPr>
      </w:pPr>
      <w:r>
        <w:rPr>
          <w:rFonts w:hint="eastAsia" w:asciiTheme="minorEastAsia" w:hAnsiTheme="minorEastAsia"/>
        </w:rPr>
        <w:t>投标人根据招标文件要求，按照货物需求表中具体的参数标准、技术性能提供现场演示；</w:t>
      </w:r>
      <w:r>
        <w:rPr>
          <w:rFonts w:hint="eastAsia" w:asciiTheme="minorEastAsia" w:hAnsiTheme="minorEastAsia"/>
          <w:lang w:eastAsia="zh-CN"/>
        </w:rPr>
        <w:t>评委</w:t>
      </w:r>
      <w:r>
        <w:rPr>
          <w:rFonts w:hint="eastAsia" w:asciiTheme="minorEastAsia" w:hAnsiTheme="minorEastAsia"/>
        </w:rPr>
        <w:t>在打分前根据各投标人的现场演示情况确定各投标人所属档次，然后评委在相应档次内独立打分。不满足招标文件要求的，不入档。</w:t>
      </w:r>
    </w:p>
    <w:p>
      <w:pPr>
        <w:ind w:firstLine="420" w:firstLineChars="200"/>
        <w:rPr>
          <w:rFonts w:asciiTheme="minorEastAsia" w:hAnsiTheme="minorEastAsia"/>
        </w:rPr>
      </w:pPr>
      <w:r>
        <w:rPr>
          <w:rFonts w:hint="eastAsia" w:asciiTheme="minorEastAsia" w:hAnsiTheme="minorEastAsia"/>
        </w:rPr>
        <w:t>一档（0.1～2分）：演示效果呈现不佳或仅基本符合招标文件要求；</w:t>
      </w:r>
    </w:p>
    <w:p>
      <w:pPr>
        <w:ind w:firstLine="420" w:firstLineChars="200"/>
        <w:rPr>
          <w:rFonts w:asciiTheme="minorEastAsia" w:hAnsiTheme="minorEastAsia"/>
        </w:rPr>
      </w:pPr>
      <w:r>
        <w:rPr>
          <w:rFonts w:hint="eastAsia" w:asciiTheme="minorEastAsia" w:hAnsiTheme="minorEastAsia"/>
        </w:rPr>
        <w:t>二档（2.1～3分）：演示内容呈现较好，技术要求、功能基本实现，符合招标文件要求。</w:t>
      </w:r>
    </w:p>
    <w:p>
      <w:pPr>
        <w:ind w:firstLine="420" w:firstLineChars="200"/>
        <w:rPr>
          <w:rFonts w:asciiTheme="minorEastAsia" w:hAnsiTheme="minorEastAsia"/>
        </w:rPr>
      </w:pPr>
      <w:r>
        <w:rPr>
          <w:rFonts w:hint="eastAsia" w:asciiTheme="minorEastAsia" w:hAnsiTheme="minorEastAsia"/>
        </w:rPr>
        <w:t>三档（3.1～5分）：演示内容全部满足招标文件要求，技术要求、功能完全实现。</w:t>
      </w:r>
    </w:p>
    <w:p>
      <w:pPr>
        <w:rPr>
          <w:rFonts w:asciiTheme="minorEastAsia" w:hAnsiTheme="minorEastAsia"/>
        </w:rPr>
      </w:pPr>
    </w:p>
    <w:p>
      <w:pPr>
        <w:ind w:firstLine="315" w:firstLineChars="150"/>
        <w:rPr>
          <w:rFonts w:asciiTheme="minorEastAsia" w:hAnsiTheme="minorEastAsia"/>
        </w:rPr>
      </w:pPr>
      <w:r>
        <w:rPr>
          <w:rFonts w:hint="eastAsia" w:asciiTheme="minorEastAsia" w:hAnsiTheme="minorEastAsia"/>
        </w:rPr>
        <w:t>4.售后服务分（10分）</w:t>
      </w:r>
    </w:p>
    <w:p>
      <w:pPr>
        <w:ind w:firstLine="420" w:firstLineChars="200"/>
        <w:rPr>
          <w:rFonts w:asciiTheme="minorEastAsia" w:hAnsiTheme="minorEastAsia"/>
        </w:rPr>
      </w:pPr>
      <w:r>
        <w:rPr>
          <w:rFonts w:hint="eastAsia" w:asciiTheme="minorEastAsia" w:hAnsiTheme="minorEastAsia"/>
        </w:rPr>
        <w:t>（1）售后服务方案分（满分10分）</w:t>
      </w:r>
    </w:p>
    <w:p>
      <w:pPr>
        <w:ind w:firstLine="525" w:firstLineChars="250"/>
        <w:rPr>
          <w:rFonts w:asciiTheme="minorEastAsia" w:hAnsiTheme="minorEastAsia"/>
        </w:rPr>
      </w:pPr>
      <w:r>
        <w:rPr>
          <w:rFonts w:hint="eastAsia" w:asciiTheme="minorEastAsia" w:hAnsiTheme="minorEastAsia"/>
        </w:rPr>
        <w:t>由评委在打分前集体讨论对比确定各投标人售后服务的档次后，在相应的等级内独立打分。</w:t>
      </w:r>
    </w:p>
    <w:p>
      <w:pPr>
        <w:rPr>
          <w:rFonts w:asciiTheme="minorEastAsia" w:hAnsiTheme="minorEastAsia"/>
        </w:rPr>
      </w:pPr>
      <w:r>
        <w:rPr>
          <w:rFonts w:hint="eastAsia" w:asciiTheme="minorEastAsia" w:hAnsiTheme="minorEastAsia"/>
        </w:rPr>
        <w:t>主要对比投标人承诺的免费保修期限、接到通知到达时现场处理故障时间、一般故障承诺解决时间、故障无法排除时的解决方案（是否提供替代品或配件、是否有应急方案等）、是否有本地化售后服务、技术培训、回访措施、维护措施、耗材及备品备件优惠措施、维保人员配置等服务承诺、服务体系及措施方面。</w:t>
      </w:r>
    </w:p>
    <w:p>
      <w:pPr>
        <w:ind w:firstLine="420" w:firstLineChars="200"/>
        <w:rPr>
          <w:rFonts w:asciiTheme="minorEastAsia" w:hAnsiTheme="minorEastAsia"/>
        </w:rPr>
      </w:pPr>
      <w:r>
        <w:rPr>
          <w:rFonts w:hint="eastAsia" w:asciiTheme="minorEastAsia" w:hAnsiTheme="minorEastAsia"/>
        </w:rPr>
        <w:t>一档：售后服务方案经对比同比较为一般的；（3分）</w:t>
      </w:r>
    </w:p>
    <w:p>
      <w:pPr>
        <w:ind w:firstLine="420" w:firstLineChars="200"/>
        <w:rPr>
          <w:rFonts w:asciiTheme="minorEastAsia" w:hAnsiTheme="minorEastAsia"/>
        </w:rPr>
      </w:pPr>
      <w:r>
        <w:rPr>
          <w:rFonts w:hint="eastAsia" w:asciiTheme="minorEastAsia" w:hAnsiTheme="minorEastAsia"/>
        </w:rPr>
        <w:t>二档：售后服务方案经对比同比较好的；（6分）</w:t>
      </w:r>
    </w:p>
    <w:p>
      <w:pPr>
        <w:ind w:firstLine="420" w:firstLineChars="200"/>
        <w:rPr>
          <w:rFonts w:asciiTheme="minorEastAsia" w:hAnsiTheme="minorEastAsia"/>
        </w:rPr>
      </w:pPr>
      <w:r>
        <w:rPr>
          <w:rFonts w:hint="eastAsia" w:asciiTheme="minorEastAsia" w:hAnsiTheme="minorEastAsia"/>
        </w:rPr>
        <w:t>三档：售后服务方案经对比明显优于其他投标人的。（10分）</w:t>
      </w:r>
    </w:p>
    <w:p>
      <w:pPr>
        <w:rPr>
          <w:rFonts w:asciiTheme="minorEastAsia" w:hAnsiTheme="minorEastAsia"/>
        </w:rPr>
      </w:pPr>
      <w:r>
        <w:rPr>
          <w:rFonts w:hint="eastAsia" w:asciiTheme="minorEastAsia" w:hAnsiTheme="minorEastAsia"/>
        </w:rPr>
        <w:t>5.信誉及成功案例分（20分）</w:t>
      </w:r>
    </w:p>
    <w:p>
      <w:pPr>
        <w:ind w:firstLine="420" w:firstLineChars="200"/>
        <w:rPr>
          <w:rFonts w:asciiTheme="minorEastAsia" w:hAnsiTheme="minorEastAsia"/>
        </w:rPr>
      </w:pPr>
      <w:r>
        <w:rPr>
          <w:rFonts w:hint="eastAsia" w:asciiTheme="minorEastAsia" w:hAnsiTheme="minorEastAsia"/>
        </w:rPr>
        <w:t>（1）投标人2013年以来有同类项目云平台部署案例，每项案例得3分，满分6分。（以提供中标通知书复印件或合同复印件为准。）</w:t>
      </w:r>
    </w:p>
    <w:p>
      <w:pPr>
        <w:ind w:firstLine="420" w:firstLineChars="200"/>
        <w:rPr>
          <w:rFonts w:asciiTheme="minorEastAsia" w:hAnsiTheme="minorEastAsia"/>
        </w:rPr>
      </w:pPr>
      <w:r>
        <w:rPr>
          <w:rFonts w:hint="eastAsia" w:asciiTheme="minorEastAsia" w:hAnsiTheme="minorEastAsia"/>
        </w:rPr>
        <w:t>（2）投标人2013年以来有同类项目平台本地部署案例，满分7分。（以提供中标通知书复印件或合同复印件为准。）</w:t>
      </w:r>
    </w:p>
    <w:p>
      <w:pPr>
        <w:ind w:firstLine="420" w:firstLineChars="200"/>
        <w:rPr>
          <w:rFonts w:asciiTheme="minorEastAsia" w:hAnsiTheme="minorEastAsia"/>
        </w:rPr>
      </w:pPr>
      <w:r>
        <w:rPr>
          <w:rFonts w:hint="eastAsia" w:asciiTheme="minorEastAsia" w:hAnsiTheme="minorEastAsia"/>
        </w:rPr>
        <w:t>（3）投标人2013年以来有统考练习系统案例，满分7分。（以提供中标通知书复印件或合同复印件为准。）</w:t>
      </w:r>
    </w:p>
    <w:p>
      <w:pPr>
        <w:pStyle w:val="5"/>
      </w:pPr>
      <w:r>
        <w:rPr>
          <w:rFonts w:hint="eastAsia"/>
        </w:rPr>
        <w:t>（三） 中标候选人推荐原则</w:t>
      </w:r>
    </w:p>
    <w:p>
      <w:pPr>
        <w:ind w:firstLine="525" w:firstLineChars="250"/>
        <w:rPr>
          <w:rFonts w:asciiTheme="minorEastAsia" w:hAnsiTheme="minorEastAsia"/>
        </w:rPr>
      </w:pPr>
      <w:r>
        <w:rPr>
          <w:rFonts w:hint="eastAsia" w:asciiTheme="minorEastAsia" w:hAnsiTheme="minorEastAsia"/>
        </w:rPr>
        <w:t>（一）</w:t>
      </w:r>
      <w:r>
        <w:rPr>
          <w:rFonts w:hint="eastAsia" w:asciiTheme="minorEastAsia" w:hAnsiTheme="minorEastAsia"/>
          <w:lang w:eastAsia="zh-CN"/>
        </w:rPr>
        <w:t>评委</w:t>
      </w:r>
      <w:r>
        <w:rPr>
          <w:rFonts w:hint="eastAsia" w:asciiTheme="minorEastAsia" w:hAnsiTheme="minorEastAsia"/>
        </w:rPr>
        <w:t>将根据得分由高到低排列次序(得分相同时，以投标报价由低到高排列；得分相同且投标报价相同的，按技术指标优劣顺序排列)并推荐3名中标候选人。采购人应当确定评审委员会推荐排名第一的中标候选人为中标人。排名第一的中标候选人放弃中标、因不可抗力提出不能履行合同的，采购人可以确定排名第二的中标候选人为中标人，采购人也可以决定重新采购。排名第二的中标候选人因前款规定的同样原因不能签订合同的，招标采购单位可以确定排名第三的中标候选人为中标人，采购人也可以决定重新采购。</w:t>
      </w:r>
    </w:p>
    <w:p>
      <w:pPr>
        <w:ind w:firstLine="420" w:firstLineChars="200"/>
        <w:rPr>
          <w:rFonts w:asciiTheme="minorEastAsia" w:hAnsiTheme="minorEastAsia"/>
        </w:rPr>
      </w:pPr>
      <w:r>
        <w:rPr>
          <w:rFonts w:hint="eastAsia" w:asciiTheme="minorEastAsia" w:hAnsiTheme="minorEastAsia"/>
        </w:rPr>
        <w:t>（二）</w:t>
      </w:r>
      <w:r>
        <w:rPr>
          <w:rFonts w:hint="eastAsia" w:asciiTheme="minorEastAsia" w:hAnsiTheme="minorEastAsia"/>
          <w:lang w:eastAsia="zh-CN"/>
        </w:rPr>
        <w:t>评委</w:t>
      </w:r>
      <w:r>
        <w:rPr>
          <w:rFonts w:hint="eastAsia" w:asciiTheme="minorEastAsia" w:hAnsiTheme="minorEastAsia"/>
        </w:rPr>
        <w:t>认为，某投标人的有效投标报价或者某些分项报价明显不合理或者低于成本，有可能影响服务质量和不能诚信履约的，应要求其在规定的期限内提供书面文件予以解释说明，并提交相关证明材料，否则，</w:t>
      </w:r>
      <w:r>
        <w:rPr>
          <w:rFonts w:hint="eastAsia" w:asciiTheme="minorEastAsia" w:hAnsiTheme="minorEastAsia"/>
          <w:lang w:eastAsia="zh-CN"/>
        </w:rPr>
        <w:t>评委</w:t>
      </w:r>
      <w:r>
        <w:rPr>
          <w:rFonts w:hint="eastAsia" w:asciiTheme="minorEastAsia" w:hAnsiTheme="minorEastAsia"/>
        </w:rPr>
        <w:t>不推荐该投标人为中标候选人。</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13FB1"/>
    <w:multiLevelType w:val="multilevel"/>
    <w:tmpl w:val="1AA13FB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0DC584C"/>
    <w:multiLevelType w:val="multilevel"/>
    <w:tmpl w:val="20DC584C"/>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1AA2B3C"/>
    <w:multiLevelType w:val="multilevel"/>
    <w:tmpl w:val="51AA2B3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74E16C1"/>
    <w:multiLevelType w:val="multilevel"/>
    <w:tmpl w:val="574E16C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55578C"/>
    <w:multiLevelType w:val="multilevel"/>
    <w:tmpl w:val="5D55578C"/>
    <w:lvl w:ilvl="0" w:tentative="0">
      <w:start w:val="1"/>
      <w:numFmt w:val="decimal"/>
      <w:lvlText w:val="%1．"/>
      <w:lvlJc w:val="left"/>
      <w:pPr>
        <w:ind w:left="420" w:hanging="420"/>
      </w:pPr>
      <w:rPr>
        <w:rFonts w:hint="eastAsia"/>
      </w:rPr>
    </w:lvl>
    <w:lvl w:ilvl="1" w:tentative="0">
      <w:start w:val="1"/>
      <w:numFmt w:val="upperLetter"/>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D4E29E9"/>
    <w:multiLevelType w:val="multilevel"/>
    <w:tmpl w:val="6D4E29E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08B66D7"/>
    <w:multiLevelType w:val="multilevel"/>
    <w:tmpl w:val="708B66D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10C3776"/>
    <w:multiLevelType w:val="multilevel"/>
    <w:tmpl w:val="710C377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6848F6"/>
    <w:multiLevelType w:val="multilevel"/>
    <w:tmpl w:val="766848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9934434"/>
    <w:multiLevelType w:val="multilevel"/>
    <w:tmpl w:val="7993443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031"/>
    <w:rsid w:val="00021E63"/>
    <w:rsid w:val="00030C01"/>
    <w:rsid w:val="00106031"/>
    <w:rsid w:val="00107E05"/>
    <w:rsid w:val="001148D3"/>
    <w:rsid w:val="00155148"/>
    <w:rsid w:val="00197635"/>
    <w:rsid w:val="001D176B"/>
    <w:rsid w:val="001D5930"/>
    <w:rsid w:val="002556BD"/>
    <w:rsid w:val="002972F3"/>
    <w:rsid w:val="002D488E"/>
    <w:rsid w:val="00357DE3"/>
    <w:rsid w:val="0044388A"/>
    <w:rsid w:val="00484497"/>
    <w:rsid w:val="00486550"/>
    <w:rsid w:val="004F0A1A"/>
    <w:rsid w:val="00536481"/>
    <w:rsid w:val="00576D2B"/>
    <w:rsid w:val="00591F95"/>
    <w:rsid w:val="006747AF"/>
    <w:rsid w:val="006C579A"/>
    <w:rsid w:val="007563A1"/>
    <w:rsid w:val="007C1A00"/>
    <w:rsid w:val="007C28C1"/>
    <w:rsid w:val="008B1405"/>
    <w:rsid w:val="0090090D"/>
    <w:rsid w:val="00930D50"/>
    <w:rsid w:val="0093243A"/>
    <w:rsid w:val="00993691"/>
    <w:rsid w:val="00A102EB"/>
    <w:rsid w:val="00A2573B"/>
    <w:rsid w:val="00A43802"/>
    <w:rsid w:val="00A46799"/>
    <w:rsid w:val="00A53317"/>
    <w:rsid w:val="00B27324"/>
    <w:rsid w:val="00C02139"/>
    <w:rsid w:val="00CC1D2D"/>
    <w:rsid w:val="00DE1DBA"/>
    <w:rsid w:val="00E35A3F"/>
    <w:rsid w:val="00E87CEC"/>
    <w:rsid w:val="00EA2AFD"/>
    <w:rsid w:val="00EA7EBB"/>
    <w:rsid w:val="00FB2451"/>
    <w:rsid w:val="00FE427D"/>
    <w:rsid w:val="07367AF7"/>
    <w:rsid w:val="12EB7DA9"/>
    <w:rsid w:val="30481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qFormat/>
    <w:uiPriority w:val="0"/>
    <w:pPr>
      <w:keepNext/>
      <w:keepLines/>
      <w:suppressAutoHyphens/>
      <w:spacing w:before="260" w:after="260" w:line="408" w:lineRule="auto"/>
      <w:outlineLvl w:val="1"/>
    </w:pPr>
    <w:rPr>
      <w:rFonts w:ascii="Arial" w:hAnsi="Arial" w:eastAsia="黑体" w:cs="Times New Roman"/>
      <w:b/>
      <w:bCs/>
      <w:kern w:val="1"/>
      <w:sz w:val="32"/>
      <w:szCs w:val="32"/>
      <w:lang w:eastAsia="ar-SA"/>
    </w:rPr>
  </w:style>
  <w:style w:type="paragraph" w:styleId="3">
    <w:name w:val="heading 3"/>
    <w:basedOn w:val="1"/>
    <w:next w:val="1"/>
    <w:link w:val="15"/>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17"/>
    <w:unhideWhenUsed/>
    <w:qFormat/>
    <w:uiPriority w:val="9"/>
    <w:pPr>
      <w:keepNext/>
      <w:keepLines/>
      <w:spacing w:before="280" w:after="290" w:line="376" w:lineRule="auto"/>
      <w:outlineLvl w:val="4"/>
    </w:pPr>
    <w:rPr>
      <w:b/>
      <w:bCs/>
      <w:sz w:val="28"/>
      <w:szCs w:val="28"/>
    </w:rPr>
  </w:style>
  <w:style w:type="character" w:default="1" w:styleId="9">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14"/>
    <w:unhideWhenUsed/>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标题 2 Char"/>
    <w:basedOn w:val="9"/>
    <w:link w:val="2"/>
    <w:qFormat/>
    <w:uiPriority w:val="0"/>
    <w:rPr>
      <w:rFonts w:ascii="Arial" w:hAnsi="Arial" w:eastAsia="黑体" w:cs="Times New Roman"/>
      <w:b/>
      <w:bCs/>
      <w:kern w:val="1"/>
      <w:sz w:val="32"/>
      <w:szCs w:val="32"/>
      <w:lang w:eastAsia="ar-SA"/>
    </w:rPr>
  </w:style>
  <w:style w:type="paragraph" w:customStyle="1" w:styleId="13">
    <w:name w:val="列出段落1"/>
    <w:basedOn w:val="1"/>
    <w:qFormat/>
    <w:uiPriority w:val="34"/>
    <w:pPr>
      <w:ind w:firstLine="420" w:firstLineChars="200"/>
    </w:pPr>
    <w:rPr>
      <w:rFonts w:ascii="Calibri" w:hAnsi="Calibri" w:eastAsia="宋体" w:cs="Times New Roman"/>
      <w:lang w:bidi="zh-CN"/>
    </w:rPr>
  </w:style>
  <w:style w:type="character" w:customStyle="1" w:styleId="14">
    <w:name w:val="批注框文本 Char"/>
    <w:basedOn w:val="9"/>
    <w:link w:val="6"/>
    <w:semiHidden/>
    <w:qFormat/>
    <w:uiPriority w:val="99"/>
    <w:rPr>
      <w:sz w:val="18"/>
      <w:szCs w:val="18"/>
    </w:rPr>
  </w:style>
  <w:style w:type="character" w:customStyle="1" w:styleId="15">
    <w:name w:val="标题 3 Char"/>
    <w:basedOn w:val="9"/>
    <w:link w:val="3"/>
    <w:qFormat/>
    <w:uiPriority w:val="9"/>
    <w:rPr>
      <w:b/>
      <w:bCs/>
      <w:sz w:val="32"/>
      <w:szCs w:val="32"/>
    </w:rPr>
  </w:style>
  <w:style w:type="character" w:customStyle="1" w:styleId="16">
    <w:name w:val="标题 4 Char"/>
    <w:basedOn w:val="9"/>
    <w:link w:val="4"/>
    <w:qFormat/>
    <w:uiPriority w:val="9"/>
    <w:rPr>
      <w:rFonts w:asciiTheme="majorHAnsi" w:hAnsiTheme="majorHAnsi" w:eastAsiaTheme="majorEastAsia" w:cstheme="majorBidi"/>
      <w:b/>
      <w:bCs/>
      <w:sz w:val="28"/>
      <w:szCs w:val="28"/>
    </w:rPr>
  </w:style>
  <w:style w:type="character" w:customStyle="1" w:styleId="17">
    <w:name w:val="标题 5 Char"/>
    <w:basedOn w:val="9"/>
    <w:link w:val="5"/>
    <w:uiPriority w:val="9"/>
    <w:rPr>
      <w:b/>
      <w:bCs/>
      <w:sz w:val="28"/>
      <w:szCs w:val="28"/>
    </w:rPr>
  </w:style>
  <w:style w:type="character" w:customStyle="1" w:styleId="18">
    <w:name w:val="页眉 Char"/>
    <w:basedOn w:val="9"/>
    <w:link w:val="8"/>
    <w:qFormat/>
    <w:uiPriority w:val="99"/>
    <w:rPr>
      <w:sz w:val="18"/>
      <w:szCs w:val="18"/>
    </w:rPr>
  </w:style>
  <w:style w:type="character" w:customStyle="1" w:styleId="19">
    <w:name w:val="页脚 Char"/>
    <w:basedOn w:val="9"/>
    <w:link w:val="7"/>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1464</Words>
  <Characters>8346</Characters>
  <Lines>69</Lines>
  <Paragraphs>19</Paragraphs>
  <ScaleCrop>false</ScaleCrop>
  <LinksUpToDate>false</LinksUpToDate>
  <CharactersWithSpaces>9791</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2017-03-07T04:26:00Z</dcterms:created>
  <dc:creator>user</dc:creator>
  <cp:lastModifiedBy>Administrator</cp:lastModifiedBy>
  <dcterms:modified xsi:type="dcterms:W3CDTF">2017-05-02T06:52:35Z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